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114" w:type="dxa"/>
        <w:jc w:val="center"/>
        <w:tblInd w:w="0" w:type="dxa"/>
        <w:tblLayout w:type="fixed"/>
        <w:tblCellMar>
          <w:top w:w="28" w:type="dxa"/>
          <w:left w:w="28" w:type="dxa"/>
          <w:bottom w:w="28" w:type="dxa"/>
          <w:right w:w="28" w:type="dxa"/>
        </w:tblCellMar>
      </w:tblPr>
      <w:tblGrid>
        <w:gridCol w:w="478"/>
        <w:gridCol w:w="420"/>
        <w:gridCol w:w="421"/>
        <w:gridCol w:w="232"/>
        <w:gridCol w:w="232"/>
        <w:gridCol w:w="331"/>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6"/>
              </w:rPr>
            </w:pPr>
            <w:r>
              <w:rPr>
                <w:rFonts w:ascii="Times New Roman;serif" w:hAnsi="Times New Roman;serif"/>
                <w:b/>
                <w:color w:val="000000"/>
                <w:sz w:val="36"/>
              </w:rPr>
              <w:t xml:space="preserve">FORM </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36"/>
              </w:rPr>
              <w:t>8-K</w:t>
            </w:r>
          </w:p>
        </w:tc>
      </w:tr>
      <w:tr>
        <w:trPr/>
        <w:tc>
          <w:tcPr>
            <w:tcW w:w="21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October 7, 2026</w:t>
      </w:r>
    </w:p>
    <w:tbl>
      <w:tblPr>
        <w:tblW w:w="4658" w:type="dxa"/>
        <w:jc w:val="center"/>
        <w:tblInd w:w="0" w:type="dxa"/>
        <w:tblLayout w:type="fixed"/>
        <w:tblCellMar>
          <w:top w:w="28" w:type="dxa"/>
          <w:left w:w="28" w:type="dxa"/>
          <w:bottom w:w="28" w:type="dxa"/>
          <w:right w:w="28" w:type="dxa"/>
        </w:tblCellMar>
      </w:tblPr>
      <w:tblGrid>
        <w:gridCol w:w="554"/>
        <w:gridCol w:w="487"/>
        <w:gridCol w:w="487"/>
        <w:gridCol w:w="487"/>
        <w:gridCol w:w="487"/>
        <w:gridCol w:w="487"/>
        <w:gridCol w:w="487"/>
        <w:gridCol w:w="487"/>
        <w:gridCol w:w="69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X4 PHARMACEUTICALS, INC.</w:t>
            </w:r>
          </w:p>
        </w:tc>
      </w:tr>
      <w:tr>
        <w:trPr/>
        <w:tc>
          <w:tcPr>
            <w:tcW w:w="4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42" w:type="dxa"/>
        <w:jc w:val="center"/>
        <w:tblInd w:w="0" w:type="dxa"/>
        <w:tblLayout w:type="fixed"/>
        <w:tblCellMar>
          <w:top w:w="28" w:type="dxa"/>
          <w:left w:w="28" w:type="dxa"/>
          <w:bottom w:w="28" w:type="dxa"/>
          <w:right w:w="28" w:type="dxa"/>
        </w:tblCellMar>
      </w:tblPr>
      <w:tblGrid>
        <w:gridCol w:w="1326"/>
        <w:gridCol w:w="1164"/>
        <w:gridCol w:w="1170"/>
        <w:gridCol w:w="109"/>
        <w:gridCol w:w="109"/>
        <w:gridCol w:w="109"/>
        <w:gridCol w:w="662"/>
        <w:gridCol w:w="662"/>
        <w:gridCol w:w="670"/>
        <w:gridCol w:w="109"/>
        <w:gridCol w:w="109"/>
        <w:gridCol w:w="109"/>
        <w:gridCol w:w="738"/>
        <w:gridCol w:w="738"/>
        <w:gridCol w:w="1058"/>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27-3181608</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5309" w:type="dxa"/>
        <w:jc w:val="left"/>
        <w:tblInd w:w="0" w:type="dxa"/>
        <w:tblLayout w:type="fixed"/>
        <w:tblCellMar>
          <w:top w:w="28" w:type="dxa"/>
          <w:left w:w="28" w:type="dxa"/>
          <w:bottom w:w="28" w:type="dxa"/>
          <w:right w:w="28" w:type="dxa"/>
        </w:tblCellMar>
      </w:tblPr>
      <w:tblGrid>
        <w:gridCol w:w="663"/>
        <w:gridCol w:w="581"/>
        <w:gridCol w:w="586"/>
        <w:gridCol w:w="254"/>
        <w:gridCol w:w="254"/>
        <w:gridCol w:w="256"/>
        <w:gridCol w:w="219"/>
        <w:gridCol w:w="219"/>
        <w:gridCol w:w="221"/>
        <w:gridCol w:w="380"/>
        <w:gridCol w:w="380"/>
        <w:gridCol w:w="381"/>
        <w:gridCol w:w="268"/>
        <w:gridCol w:w="268"/>
        <w:gridCol w:w="379"/>
      </w:tblGrid>
      <w:tr>
        <w:trPr/>
        <w:tc>
          <w:tcPr>
            <w:tcW w:w="6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North Beacon Street,</w:t>
            </w:r>
          </w:p>
        </w:tc>
        <w:tc>
          <w:tcPr>
            <w:tcW w:w="7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4th Floor</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Boston,</w:t>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02134</w:t>
            </w:r>
          </w:p>
        </w:tc>
      </w:tr>
      <w:tr>
        <w:trPr/>
        <w:tc>
          <w:tcPr>
            <w:tcW w:w="439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(857) 529-8300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856" w:type="dxa"/>
        <w:jc w:val="center"/>
        <w:tblInd w:w="0" w:type="dxa"/>
        <w:tblLayout w:type="fixed"/>
        <w:tblCellMar>
          <w:top w:w="28" w:type="dxa"/>
          <w:left w:w="28" w:type="dxa"/>
          <w:bottom w:w="28" w:type="dxa"/>
          <w:right w:w="28" w:type="dxa"/>
        </w:tblCellMar>
      </w:tblPr>
      <w:tblGrid>
        <w:gridCol w:w="1144"/>
        <w:gridCol w:w="1007"/>
        <w:gridCol w:w="1013"/>
        <w:gridCol w:w="109"/>
        <w:gridCol w:w="109"/>
        <w:gridCol w:w="109"/>
        <w:gridCol w:w="519"/>
        <w:gridCol w:w="519"/>
        <w:gridCol w:w="521"/>
        <w:gridCol w:w="109"/>
        <w:gridCol w:w="109"/>
        <w:gridCol w:w="109"/>
        <w:gridCol w:w="1019"/>
        <w:gridCol w:w="1019"/>
        <w:gridCol w:w="1441"/>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or Rule 12b-2 of the Securities Exchange Act of 1934.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8"/>
        </w:rPr>
        <w:t>Emerging growth company </w:t>
      </w:r>
      <w:r>
        <w:rPr>
          <w:color w:val="000000"/>
        </w:rPr>
        <w:t>☐</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813" w:type="dxa"/>
        <w:jc w:val="left"/>
        <w:tblInd w:w="0" w:type="dxa"/>
        <w:tblLayout w:type="fixed"/>
        <w:tblCellMar>
          <w:top w:w="28" w:type="dxa"/>
          <w:left w:w="28" w:type="dxa"/>
          <w:bottom w:w="28" w:type="dxa"/>
          <w:right w:w="28" w:type="dxa"/>
        </w:tblCellMar>
      </w:tblPr>
      <w:tblGrid>
        <w:gridCol w:w="347"/>
        <w:gridCol w:w="304"/>
        <w:gridCol w:w="308"/>
        <w:gridCol w:w="1126"/>
        <w:gridCol w:w="1126"/>
        <w:gridCol w:w="160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7, 2026 (the “Closing Date”), X4 Pharmaceuticals, Inc. (the “Company”) and its wholly owned subsidiary, X4 Therapeutics, Inc. (together with the Company, the “Borrowers”), entered into a Loan and Security Agreement (the “Loan Agreement”) with K2 HealthVentures LLC, as administrative agent (in such capacity, the “Administrative Agent”) and as a lender, the other lenders from time to time party thereto (together with K2 HealthVentures LLC, the “Lenders”), and Ankura Trust Company, LLC, as collateral trustee. The Loan Agreement provides for term loans of up to $150.0 million, consisting of (i) a term loan in the aggregate principal amount of $80.0 million, which was funded on the Closing Date (the “First Tranche Term Loan”), and (ii) up to an additional $70.0 million of term loans (the “Second Tranche Term Loans” and, together with the First Tranche Term Loan, the “Term Loans”), which may be made available at the Borrowers’ request, subject to review by the Administrative Agent of certain information from the Borrowers and discretionary approval by the Lenders.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Borrowers used a portion of the proceeds of the First Tranche Term Loan to repay in full all outstanding obligations under the Hercules Loan Agreement (as defined below) and intend to use the remaining proceeds for working capital and general corporate purposes. The proceeds of any Second Tranche Term Loans may be used for permitted acquisitions and permitted investments. Once repaid, the Term Loans may not be reborrowed.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Term Loans bear cash interest at a variable annual rate equal to the greater of (i) 8.55% and (ii) the prime rate as reported in </w:t>
      </w:r>
      <w:r>
        <w:rPr>
          <w:rFonts w:ascii="Times New Roman;serif" w:hAnsi="Times New Roman;serif"/>
          <w:b w:val="false"/>
          <w:i/>
          <w:color w:val="000000"/>
          <w:sz w:val="20"/>
        </w:rPr>
        <w:t>The Wall Street Journal</w:t>
      </w:r>
      <w:r>
        <w:rPr>
          <w:color w:val="000000"/>
        </w:rPr>
        <w:t xml:space="preserve"> </w:t>
      </w:r>
      <w:r>
        <w:rPr>
          <w:rFonts w:ascii="Times New Roman;serif" w:hAnsi="Times New Roman;serif"/>
          <w:b w:val="false"/>
          <w:color w:val="000000"/>
          <w:sz w:val="20"/>
        </w:rPr>
        <w:t>plus 1.55%, payable monthly in arrears. In addition, the Term Loans accrue paid-in-kind interest at a fixed rate of 1.0% per annum.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Loan Agreement provides for interest-only payments through October 1, 2029, which period will be extended to maturity if, among other conditions, the Borrowers achieve first commercial sales in the United States of mavorixafor in moderate to severe chronic neutropenia, followed by equal monthly installments of principal and interest. The Term Loans mature on October 1, 2030.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Borrowers may prepay all, but not less than all, of the Term Loans, subject to a prepayment fee and certain notice requirements. The Borrowers are also required to pay the Lenders a final payment fee upon repayment of the Term Loans.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Borrowers’ obligations under the Loan Agreement are secured by substantially all of the Borrowers’ assets, other than their intellectual property.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Loan Agreement contains customary representations and warranties and affirmative and negative covenants that, subject to specified exceptions, among other things, limit the ability of the Borrowers and their subsidiaries to dispose of assets, change their business, management, ownership or business locations, merge or consolidate, incur indebtedness, grant liens, pay dividends or make other distributions or repurchase equity, make investments and acquisitions, enter into exclusive licenses and enter into transactions with affiliates. The Loan Agreement also contains financial covenants that require the Borrowers (i) commencing October 1, 2027, at all times when the Company’s market capitalization is less than $800.0 million, to maintain unrestricted cash and cash equivalents of at least 75% of the total outstanding obligations under the Loan Agreement, which threshold decreases to 40% following meeting certain conditions, and (ii) commencing April 1, 2029, to achieve trailing three-month net product revenue of at least 50% of the net product revenue set forth in the Borrowers’ board-approved projections.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Loan Agreement contains customary events of default, including payment defaults, insolvency events and a material adverse effect on the Borrowers' business, operations, properties, assets or condition (financial or otherwise). The Lenders may elect at any time following the Closing Date and prior to the repayment in full of the Term Loans to convert any portion of the principal amount of the Term Loans then outstanding, up to an aggregate of $15.0 million in principal amount, into shares of the Company's common stock (the “Conversion Shares”) at a conversion price of $3.2341 per share (subject to proportionate adjustment for stock splits, stock combinations, stock dividends, recapitalizations and similar events), subject to certain beneficial ownership limitations.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Loan Agreement does not purport to be complete and is qualified in its entirety by reference to the full text of the Loan Agreement, a copy of which will be filed as an exhibit to the Company’s Quarterly Report on Form 10-Q for the quarter ended September 30, 2026.</w:t>
      </w:r>
    </w:p>
    <w:p>
      <w:pPr>
        <w:pStyle w:val="TextBody"/>
        <w:bidi w:val="0"/>
        <w:spacing w:before="0" w:after="0"/>
        <w:jc w:val="both"/>
        <w:rPr/>
      </w:pPr>
      <w:r>
        <w:rPr/>
      </w:r>
    </w:p>
    <w:tbl>
      <w:tblPr>
        <w:tblW w:w="5234" w:type="dxa"/>
        <w:jc w:val="left"/>
        <w:tblInd w:w="0" w:type="dxa"/>
        <w:tblLayout w:type="fixed"/>
        <w:tblCellMar>
          <w:top w:w="28" w:type="dxa"/>
          <w:left w:w="28" w:type="dxa"/>
          <w:bottom w:w="28" w:type="dxa"/>
          <w:right w:w="28" w:type="dxa"/>
        </w:tblCellMar>
      </w:tblPr>
      <w:tblGrid>
        <w:gridCol w:w="347"/>
        <w:gridCol w:w="304"/>
        <w:gridCol w:w="308"/>
        <w:gridCol w:w="1250"/>
        <w:gridCol w:w="1250"/>
        <w:gridCol w:w="17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1.02.</w:t>
            </w:r>
          </w:p>
        </w:tc>
        <w:tc>
          <w:tcPr>
            <w:tcW w:w="42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Termination of a Material Definitive Agreement.</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the Closing Date, the Borrowers used a portion of the proceeds of the First Tranche Term Loan to repay in full all outstanding obligations under the Second Amended and Restated Loan and Security Agreement, dated as of January 6, 2023, as amended (the “Hercules Loan Agreement”), by and among the Borrowers, the lenders party thereto and Hercules Capital, Inc., as administrative agent and collateral agent (“Hercules”). The total payoff amount of approximately $78.7 million consisted of $75.0 million of outstanding principal, accrued and unpaid interest, the end of term charge and the prepayment charge payable under the Hercules Loan Agreement, and related fees and expenses. Upon such repayment, the Hercules Loan Agreement and the related loan documents were terminated, the lenders’ commitments thereunder were terminated and all liens and security interests securing the obligations under the Hercules Loan Agreement were released. The warrants to purchase shares of the Company’s common stock previously issued to Hercules and its affiliates remain outstanding in accordance with their terms. The Borrowers did not incur any early termination penalties in connection with the termination of the Hercules Loan Agreement, other than the prepayment charge described above.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4"/>
        <w:gridCol w:w="292"/>
        <w:gridCol w:w="296"/>
        <w:gridCol w:w="2717"/>
        <w:gridCol w:w="2717"/>
        <w:gridCol w:w="3849"/>
      </w:tblGrid>
      <w:tr>
        <w:trPr/>
        <w:tc>
          <w:tcPr>
            <w:tcW w:w="3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9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2.03.</w:t>
            </w:r>
          </w:p>
        </w:tc>
        <w:tc>
          <w:tcPr>
            <w:tcW w:w="92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Creation of a Direct Financial Obligation or an Obligation under an Off-Balance Sheet Arrangement of a Registrant.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(this “Current Report”) regarding the Loan Agreement is incorporated by reference into this Item 2.03.</w:t>
      </w:r>
    </w:p>
    <w:p>
      <w:pPr>
        <w:pStyle w:val="TextBody"/>
        <w:bidi w:val="0"/>
        <w:spacing w:before="0" w:after="0"/>
        <w:jc w:val="both"/>
        <w:rPr/>
      </w:pPr>
      <w:r>
        <w:rPr/>
      </w:r>
    </w:p>
    <w:tbl>
      <w:tblPr>
        <w:tblW w:w="4424" w:type="dxa"/>
        <w:jc w:val="left"/>
        <w:tblInd w:w="0" w:type="dxa"/>
        <w:tblLayout w:type="fixed"/>
        <w:tblCellMar>
          <w:top w:w="28" w:type="dxa"/>
          <w:left w:w="28" w:type="dxa"/>
          <w:bottom w:w="28" w:type="dxa"/>
          <w:right w:w="28" w:type="dxa"/>
        </w:tblCellMar>
      </w:tblPr>
      <w:tblGrid>
        <w:gridCol w:w="347"/>
        <w:gridCol w:w="304"/>
        <w:gridCol w:w="308"/>
        <w:gridCol w:w="1015"/>
        <w:gridCol w:w="1015"/>
        <w:gridCol w:w="143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3.02.</w:t>
            </w:r>
          </w:p>
        </w:tc>
        <w:tc>
          <w:tcPr>
            <w:tcW w:w="3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Item 1.01 of this Current Report regarding the Conversion Shares is incorporated by reference into this Item 3.02. The issuance of shares of the Company's common stock underlying the Conversion Shares will be made in reliance upon the exemption from registration contained in Section 4(a)(2) of the Securities Act of 1933, as amended (the “Securities Act”), and Rule 506 of Regulation D thereunder. </w:t>
      </w:r>
    </w:p>
    <w:p>
      <w:pPr>
        <w:pStyle w:val="TextBody"/>
        <w:bidi w:val="0"/>
        <w:spacing w:before="0" w:after="0"/>
        <w:jc w:val="both"/>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8, 2026, the Company issued a press release announcing its entry into the Loan Agreement. A copy of the press release is furnished as Exhibit 99.1 to this Current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or the Exchange Act, except as expressly set forth by specific reference in such filing.</w:t>
      </w:r>
    </w:p>
    <w:p>
      <w:pPr>
        <w:pStyle w:val="TextBody"/>
        <w:bidi w:val="0"/>
        <w:spacing w:before="0" w:after="0"/>
        <w:jc w:val="both"/>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8783"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98"/>
        <w:gridCol w:w="2198"/>
        <w:gridCol w:w="2204"/>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pressreleasedatedocto.htm">
              <w:r>
                <w:rPr>
                  <w:rStyle w:val="InternetLink"/>
                  <w:rFonts w:ascii="Times New Roman;serif" w:hAnsi="Times New Roman;serif"/>
                  <w:b w:val="false"/>
                  <w:color w:val="0000FF"/>
                  <w:sz w:val="20"/>
                  <w:u w:val="single"/>
                </w:rPr>
                <w:t>Press Release of X4 Pharmaceuticals, Inc., dated October 8,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734"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451"/>
        <w:gridCol w:w="451"/>
        <w:gridCol w:w="451"/>
        <w:gridCol w:w="921"/>
        <w:gridCol w:w="921"/>
        <w:gridCol w:w="1307"/>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X4 PHARMACEUTICALS,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Kirske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Kirske</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55" w:before="0" w:after="0"/>
        <w:jc w:val="left"/>
        <w:rPr>
          <w:color w:val="000000"/>
        </w:rPr>
      </w:pPr>
      <w:r>
        <w:rPr>
          <w:color w:val="000000"/>
        </w:rPr>
        <w:t>                                            </w:t>
      </w:r>
    </w:p>
    <w:p>
      <w:pPr>
        <w:pStyle w:val="TextBody"/>
        <w:bidi w:val="0"/>
        <w:spacing w:before="0" w:after="0"/>
        <w:jc w:val="right"/>
        <w:rPr/>
      </w:pPr>
      <w:r>
        <w:rPr/>
      </w:r>
    </w:p>
    <w:p>
      <w:pPr>
        <w:pStyle w:val="TextBody"/>
        <w:bidi w:val="0"/>
        <w:spacing w:lineRule="auto" w:line="319" w:before="0" w:after="0"/>
        <w:jc w:val="right"/>
        <w:rPr>
          <w:rFonts w:ascii="sans-serif" w:hAnsi="sans-serif"/>
          <w:b/>
          <w:color w:val="000000"/>
          <w:sz w:val="24"/>
        </w:rPr>
      </w:pPr>
      <w:r>
        <w:rPr>
          <w:rFonts w:ascii="sans-serif" w:hAnsi="sans-serif"/>
          <w:b/>
          <w:color w:val="000000"/>
          <w:sz w:val="24"/>
        </w:rPr>
        <w:t>Exhibit 99.1</w:t>
      </w:r>
    </w:p>
    <w:p>
      <w:pPr>
        <w:pStyle w:val="TextBody"/>
        <w:bidi w:val="0"/>
        <w:spacing w:lineRule="auto" w:line="319" w:before="0" w:after="0"/>
        <w:jc w:val="left"/>
        <w:rPr/>
      </w:pPr>
      <w:r>
        <w:rPr/>
        <w:drawing>
          <wp:inline distT="0" distB="0" distL="0" distR="0">
            <wp:extent cx="1123950" cy="8667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123950" cy="866775"/>
                    </a:xfrm>
                    <a:prstGeom prst="rect">
                      <a:avLst/>
                    </a:prstGeom>
                  </pic:spPr>
                </pic:pic>
              </a:graphicData>
            </a:graphic>
          </wp:inline>
        </w:drawing>
      </w:r>
      <w:r>
        <w:rPr>
          <w:color w:val="EE0000"/>
        </w:rPr>
        <w:t>                        </w:t>
      </w:r>
    </w:p>
    <w:p>
      <w:pPr>
        <w:pStyle w:val="TextBody"/>
        <w:bidi w:val="0"/>
        <w:spacing w:before="0" w:after="0"/>
        <w:jc w:val="left"/>
        <w:rPr/>
      </w:pPr>
      <w:r>
        <w:rPr/>
      </w:r>
    </w:p>
    <w:p>
      <w:pPr>
        <w:pStyle w:val="TextBody"/>
        <w:bidi w:val="0"/>
        <w:spacing w:lineRule="auto" w:line="319" w:before="0" w:after="0"/>
        <w:jc w:val="center"/>
        <w:rPr>
          <w:rFonts w:ascii="sans-serif" w:hAnsi="sans-serif"/>
          <w:b/>
          <w:color w:val="000000"/>
          <w:sz w:val="28"/>
        </w:rPr>
      </w:pPr>
      <w:r>
        <w:rPr>
          <w:rFonts w:ascii="sans-serif" w:hAnsi="sans-serif"/>
          <w:b/>
          <w:color w:val="000000"/>
          <w:sz w:val="28"/>
        </w:rPr>
        <w:t>X4 Pharmaceuticals Secures Up to $150 Million Senior Debt Facility with K2 HealthVentures</w:t>
      </w:r>
    </w:p>
    <w:p>
      <w:pPr>
        <w:pStyle w:val="TextBody"/>
        <w:bidi w:val="0"/>
        <w:spacing w:before="0" w:after="0"/>
        <w:jc w:val="center"/>
        <w:rPr/>
      </w:pPr>
      <w:r>
        <w:rPr/>
      </w:r>
    </w:p>
    <w:p>
      <w:pPr>
        <w:pStyle w:val="TextBody"/>
        <w:bidi w:val="0"/>
        <w:spacing w:lineRule="auto" w:line="319" w:before="0" w:after="0"/>
        <w:jc w:val="center"/>
        <w:rPr>
          <w:rFonts w:ascii="sans-serif" w:hAnsi="sans-serif"/>
          <w:b w:val="false"/>
          <w:i/>
          <w:color w:val="000000"/>
          <w:sz w:val="24"/>
        </w:rPr>
      </w:pPr>
      <w:r>
        <w:rPr>
          <w:rFonts w:ascii="sans-serif" w:hAnsi="sans-serif"/>
          <w:b w:val="false"/>
          <w:i/>
          <w:color w:val="000000"/>
          <w:sz w:val="24"/>
        </w:rPr>
        <w:t>- Repayment of Existing Loan Facility Completed -</w:t>
      </w:r>
    </w:p>
    <w:p>
      <w:pPr>
        <w:pStyle w:val="TextBody"/>
        <w:bidi w:val="0"/>
        <w:spacing w:lineRule="auto" w:line="319" w:before="0" w:after="0"/>
        <w:jc w:val="center"/>
        <w:rPr>
          <w:rFonts w:ascii="sans-serif" w:hAnsi="sans-serif"/>
          <w:b w:val="false"/>
          <w:i/>
          <w:color w:val="000000"/>
          <w:sz w:val="24"/>
        </w:rPr>
      </w:pPr>
      <w:r>
        <w:rPr>
          <w:rFonts w:ascii="sans-serif" w:hAnsi="sans-serif"/>
          <w:b w:val="false"/>
          <w:i/>
          <w:color w:val="000000"/>
          <w:sz w:val="24"/>
        </w:rPr>
        <w:t xml:space="preserve">- Strengthens Financial Flexibility with Access to Funding for Corporate and Commercial Activities - </w:t>
      </w:r>
    </w:p>
    <w:p>
      <w:pPr>
        <w:pStyle w:val="TextBody"/>
        <w:bidi w:val="0"/>
        <w:spacing w:lineRule="auto" w:line="319" w:before="0" w:after="0"/>
        <w:jc w:val="center"/>
        <w:rPr>
          <w:rFonts w:ascii="sans-serif" w:hAnsi="sans-serif"/>
          <w:b w:val="false"/>
          <w:i/>
          <w:color w:val="000000"/>
          <w:sz w:val="24"/>
        </w:rPr>
      </w:pPr>
      <w:r>
        <w:rPr>
          <w:rFonts w:ascii="sans-serif" w:hAnsi="sans-serif"/>
          <w:b w:val="false"/>
          <w:i/>
          <w:color w:val="000000"/>
          <w:sz w:val="24"/>
        </w:rPr>
        <w:t>- Expect Completion of Enrollment in Phase 3 4WARD trial by Year-End 2026 and Topline Data in H1 2028 -</w:t>
      </w:r>
    </w:p>
    <w:p>
      <w:pPr>
        <w:pStyle w:val="TextBody"/>
        <w:bidi w:val="0"/>
        <w:spacing w:before="0" w:after="0"/>
        <w:jc w:val="center"/>
        <w:rPr/>
      </w:pPr>
      <w:r>
        <w:rPr/>
      </w:r>
    </w:p>
    <w:p>
      <w:pPr>
        <w:pStyle w:val="TextBody"/>
        <w:bidi w:val="0"/>
        <w:spacing w:lineRule="auto" w:line="319" w:before="0" w:after="0"/>
        <w:jc w:val="both"/>
        <w:rPr/>
      </w:pPr>
      <w:r>
        <w:rPr>
          <w:rFonts w:ascii="sans-serif" w:hAnsi="sans-serif"/>
          <w:b/>
          <w:color w:val="000000"/>
          <w:sz w:val="24"/>
        </w:rPr>
        <w:t xml:space="preserve">BOSTON, October 8, 2026 – </w:t>
      </w:r>
      <w:r>
        <w:rPr>
          <w:rFonts w:ascii="sans-serif" w:hAnsi="sans-serif"/>
          <w:b w:val="false"/>
          <w:color w:val="000000"/>
          <w:sz w:val="24"/>
        </w:rPr>
        <w:t>X4 Pharmaceuticals (Nasdaq: XFOR), a company focused on improving the lives of people with rare hematology diseases, today announced that it has entered into a senior secured term loan facility of up to $150 million with K2 HealthVentures LLC (“K2HV”), an alternative investment firm that provides flexible, long-term financing solutions in the life sciences and healthcare industries. The K2HV facility replaces a prior loan agreement and strengthens X4's financial flexibility.</w:t>
      </w:r>
    </w:p>
    <w:p>
      <w:pPr>
        <w:pStyle w:val="TextBody"/>
        <w:bidi w:val="0"/>
        <w:spacing w:before="0" w:after="0"/>
        <w:jc w:val="both"/>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The first tranche of $80 million funded at closing and was used to repay in full all obligations, including $75 million of principal and related fees, under the Company’s prior loan and security agreement, along with associated closing costs. An additional $70 million may be made available to X4 at the Company’s request, subject to approval by K2HV and other conditions. The new K2HV facility provides a larger total facility size, a longer interest-only period, and a 48-month maturity to support corporate activities, including the potential future commercial launch of mavorixafor in chronic neutropenia.</w:t>
      </w:r>
    </w:p>
    <w:p>
      <w:pPr>
        <w:pStyle w:val="TextBody"/>
        <w:bidi w:val="0"/>
        <w:spacing w:before="0" w:after="0"/>
        <w:jc w:val="both"/>
        <w:rPr/>
      </w:pPr>
      <w:r>
        <w:rPr/>
      </w:r>
    </w:p>
    <w:p>
      <w:pPr>
        <w:pStyle w:val="TextBody"/>
        <w:bidi w:val="0"/>
        <w:spacing w:lineRule="auto" w:line="319"/>
        <w:jc w:val="both"/>
        <w:rPr>
          <w:color w:val="000000"/>
        </w:rPr>
      </w:pPr>
      <w:r>
        <w:rPr>
          <w:color w:val="000000"/>
        </w:rPr>
        <w:t>“</w:t>
      </w:r>
      <w:r>
        <w:rPr>
          <w:rFonts w:ascii="sans-serif" w:hAnsi="sans-serif"/>
          <w:b w:val="false"/>
          <w:color w:val="000000"/>
          <w:sz w:val="24"/>
        </w:rPr>
        <w:t xml:space="preserve">Our partnership with K2 HealthVentures strengthens our capital position and gives us a solid financial foundation as we advance mavorixafor toward potential FDA approval and a commercial launch in chronic neutropenia,” said David Kirske, Chief Financial Officer of X4. “The new structure provides additional flexibility on more favorable terms and is aligned with our strategic priorities. We expect to reach several key milestones in the near term, including completing enrollment in our Phase 3 4WARD trial this year and reporting topline results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55" w:before="0" w:after="0"/>
        <w:jc w:val="left"/>
        <w:rPr>
          <w:color w:val="000000"/>
        </w:rPr>
      </w:pPr>
      <w:r>
        <w:rPr>
          <w:color w:val="000000"/>
        </w:rPr>
        <w:t>                                            </w:t>
      </w:r>
    </w:p>
    <w:p>
      <w:pPr>
        <w:pStyle w:val="TextBody"/>
        <w:bidi w:val="0"/>
        <w:spacing w:before="0" w:after="0"/>
        <w:jc w:val="right"/>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first half of 2028. We are executing with focus, discipline, and a clear line of sight to what matters most.”</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sans-serif" w:hAnsi="sans-serif"/>
          <w:b w:val="false"/>
          <w:color w:val="000000"/>
          <w:sz w:val="24"/>
        </w:rPr>
        <w:t>We are pleased to partner with X4 Pharmaceuticals as it advances mavorixafor for the potential treatment of people living with rare hematology diseases. This financing reflects our strategy of serving as a long-term financing partner to innovative life sciences companies, and we look forward to supporting X4’s next phase of growth,” said Parag Shah, Founding Managing Director and Chief Executive Officer of K2 HealthVentures.</w:t>
      </w:r>
    </w:p>
    <w:p>
      <w:pPr>
        <w:pStyle w:val="TextBody"/>
        <w:bidi w:val="0"/>
        <w:spacing w:before="0" w:after="0"/>
        <w:jc w:val="both"/>
        <w:rPr/>
      </w:pPr>
      <w:r>
        <w:rPr/>
      </w:r>
    </w:p>
    <w:p>
      <w:pPr>
        <w:pStyle w:val="TextBody"/>
        <w:bidi w:val="0"/>
        <w:spacing w:lineRule="auto" w:line="319" w:before="0" w:after="0"/>
        <w:jc w:val="both"/>
        <w:rPr/>
      </w:pPr>
      <w:r>
        <w:rPr>
          <w:rFonts w:ascii="sans-serif" w:hAnsi="sans-serif"/>
          <w:b w:val="false"/>
          <w:color w:val="000000"/>
          <w:sz w:val="24"/>
        </w:rPr>
        <w:t xml:space="preserve">Additional details regarding the loan agreement will be included in filings with the U.S. Securities and Exchange Commission (SEC). For more information, please visit the Company’s </w:t>
      </w:r>
      <w:r>
        <w:rPr>
          <w:rFonts w:ascii="Times New Roman;serif" w:hAnsi="Times New Roman;serif"/>
          <w:b w:val="false"/>
          <w:color w:val="000000"/>
          <w:sz w:val="24"/>
        </w:rPr>
        <w:t>Investor website</w:t>
      </w:r>
      <w:r>
        <w:rPr>
          <w:rFonts w:ascii="sans-serif" w:hAnsi="sans-serif"/>
          <w:b w:val="false"/>
          <w:color w:val="000000"/>
          <w:sz w:val="24"/>
        </w:rPr>
        <w:t>, which includes SEC filings and other data sources.</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About X4 Pharmaceuticals</w:t>
      </w:r>
    </w:p>
    <w:p>
      <w:pPr>
        <w:pStyle w:val="TextBody"/>
        <w:bidi w:val="0"/>
        <w:spacing w:before="0" w:after="0"/>
        <w:jc w:val="both"/>
        <w:rPr/>
      </w:pPr>
      <w:r>
        <w:rPr/>
      </w:r>
    </w:p>
    <w:p>
      <w:pPr>
        <w:pStyle w:val="TextBody"/>
        <w:bidi w:val="0"/>
        <w:spacing w:lineRule="auto" w:line="319" w:before="0" w:after="0"/>
        <w:jc w:val="both"/>
        <w:rPr/>
      </w:pPr>
      <w:r>
        <w:rPr>
          <w:rFonts w:ascii="sans-serif" w:hAnsi="sans-serif"/>
          <w:b w:val="false"/>
          <w:color w:val="000000"/>
          <w:sz w:val="24"/>
        </w:rPr>
        <w:t xml:space="preserve">X4 Pharmaceuticals is a company focused on improving the lives of people with rare hematology diseases by developing and commercializing innovative therapies in areas with significant unmet needs. Leveraging expertise in diseases of the immune system and CXCR4 biology, X4 has successfully developed mavorixafor, an orally available CXCR4 antagonist that is commercially available in the U.S. as XOLREMDI® in its first indication. The Company is currently conducting a global, pivotal Phase 3 clinical trial (4WARD) evaluating mavorixafor in chronic neutropenic disorders. The U.S. FDA has granted Fast Track designation to mavorixafor for the treatment of chronic neutropenia. X4 is headquartered in Boston, Massachusetts. For more information, please visit </w:t>
      </w:r>
      <w:r>
        <w:rPr>
          <w:rFonts w:ascii="Times New Roman;serif" w:hAnsi="Times New Roman;serif"/>
          <w:b w:val="false"/>
          <w:color w:val="000000"/>
          <w:sz w:val="24"/>
        </w:rPr>
        <w:t>www.x4pharma.com</w:t>
      </w:r>
      <w:r>
        <w:rPr>
          <w:rFonts w:ascii="sans-serif" w:hAnsi="sans-serif"/>
          <w:b w:val="false"/>
          <w:color w:val="000000"/>
          <w:sz w:val="24"/>
        </w:rPr>
        <w:t xml:space="preserve">. </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 xml:space="preserve">X4 Forward Looking Statements </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4"/>
        </w:rPr>
      </w:pPr>
      <w:r>
        <w:rPr>
          <w:rFonts w:ascii="sans-serif" w:hAnsi="sans-serif"/>
          <w:b w:val="false"/>
          <w:color w:val="000000"/>
          <w:sz w:val="24"/>
        </w:rPr>
        <w:t xml:space="preserve">This press release contains forward-looking statements within the meaning of applicable securities laws, including the Private Securities Litigation Reform Act of 1995, as amended. These statements may be identified by the words “may,” “will,” “could,” “would,” “should,” “expect,” “plan,” “anticipate,” “intend,” “believe,” “estimate,” “predict,” “project,” “potential,” “continue,” “target,” or other similar terms or expressions that concern X4’s expectations, strategy, plans, or intentions. Forward-looking statements include, without limitation, implied or express statements regarding the anticipated use of proceeds from the K2HV loan facility, the availability of additional tranches under the facility, the potential extension of the interest-only period, the sufficiency of the Company’s cash resources and its expected cash runway, the potential addressable market for moderate and severe chronic neutropenia, the expected timing for completion of enrollment in, and topline data from, the 4WARD trial, the timing for launch of mavorixafor in chronic neutropenia and future plans for the Company. Any forward-looking statements in this press release are based on management’s current expectations and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55" w:before="0" w:after="0"/>
        <w:jc w:val="left"/>
        <w:rPr>
          <w:color w:val="000000"/>
        </w:rPr>
      </w:pPr>
      <w:r>
        <w:rPr>
          <w:color w:val="000000"/>
        </w:rPr>
        <w:t>                                            </w:t>
      </w:r>
    </w:p>
    <w:p>
      <w:pPr>
        <w:pStyle w:val="TextBody"/>
        <w:bidi w:val="0"/>
        <w:spacing w:before="0" w:after="0"/>
        <w:jc w:val="righ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beliefs. These forward-looking statements are neither promises nor guarantees of future performance, and are subject to a variety of risks and uncertainties, many of which are beyond X4’s control, which could cause actual results to differ materially from those contemplated in these forward-looking statements, including the risks that: X4 may not satisfy the conditions required to access additional tranches under the K2HV facility or obtain K2HV’s approval of such draws; X4 may be unable to comply with the covenants under the loan agreement, including minimum cash and minimum revenue covenants; the interest-only period may not be extended if first commercial U.S. sales of mavorixafor in chronic neutropenia are not achieved on the anticipated timeline; changes in the prime rate may increase X4’s interest expense; enrollment in the 4WARD trial may not be completed, and topline data may not be reported, within the expected timeframes, or at all; and other risks and uncertainties, including those described in the section entitled “Risk Factors” in X4’s most recent Annual Report on X4’s Form 10-K, as well as in other filings X4 makes with the Securities and Exchange Commission, including its quarterly reports on Form 10-Q, from time to time. X4 undertakes no obligation to update the information contained in this press release to reflect new events or circumstances, except as required by law.</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X4 Investor Contact:</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Remy Bernarda</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Jenny Kobin</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IR Advisory Solutions</w:t>
      </w:r>
    </w:p>
    <w:p>
      <w:pPr>
        <w:pStyle w:val="TextBody"/>
        <w:bidi w:val="0"/>
        <w:spacing w:lineRule="auto" w:line="319" w:before="0" w:after="0"/>
        <w:jc w:val="left"/>
        <w:rPr/>
      </w:pPr>
      <w:r>
        <w:rPr>
          <w:rFonts w:ascii="Times New Roman;serif" w:hAnsi="Times New Roman;serif"/>
          <w:b w:val="false"/>
          <w:color w:val="000000"/>
          <w:sz w:val="24"/>
        </w:rPr>
        <w:t>IR@X4pharma.com</w:t>
      </w:r>
      <w:r>
        <w:rPr>
          <w:color w:val="0000FF"/>
        </w:rPr>
        <w:t xml:space="preserve"> </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4"/>
        </w:rPr>
      </w:pPr>
      <w:r>
        <w:rPr>
          <w:rFonts w:ascii="sans-serif" w:hAnsi="sans-serif"/>
          <w:b w:val="false"/>
          <w:color w:val="000000"/>
          <w:sz w:val="24"/>
        </w:rPr>
        <w:t>Source: X4 Pharmaceuticals, Inc.</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2507</Words>
  <Characters>14023</Characters>
  <CharactersWithSpaces>16623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