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0" w:lineRule="exact"/>
        <w:rPr>
          <w:sz w:val="24"/>
          <w:szCs w:val="24"/>
          <w:color w:val="auto"/>
        </w:rPr>
      </w:pPr>
    </w:p>
    <w:p>
      <w:pPr>
        <w:ind w:left="320" w:right="400" w:hanging="294"/>
        <w:spacing w:after="0" w:line="238" w:lineRule="auto"/>
        <w:tabs>
          <w:tab w:leader="none" w:pos="3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440" w:right="280" w:hanging="401"/>
        <w:spacing w:after="0" w:line="238" w:lineRule="auto"/>
        <w:tabs>
          <w:tab w:leader="none" w:pos="4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2"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001-38295</w:t>
      </w:r>
    </w:p>
    <w:p>
      <w:pPr>
        <w:spacing w:after="0" w:line="30"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w:t>
      </w:r>
    </w:p>
    <w:p>
      <w:pPr>
        <w:spacing w:after="0" w:line="20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36"/>
          <w:szCs w:val="36"/>
          <w:b w:val="1"/>
          <w:bCs w:val="1"/>
          <w:color w:val="auto"/>
        </w:rPr>
        <w:t>X4 PHARMACEUTICALS, INC.</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w:t>
      </w:r>
    </w:p>
    <w:p>
      <w:pPr>
        <w:spacing w:after="0" w:line="6"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6120" w:type="dxa"/>
            <w:vAlign w:val="bottom"/>
          </w:tcPr>
          <w:p>
            <w:pPr>
              <w:jc w:val="center"/>
              <w:ind w:right="36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27-3181608</w:t>
            </w:r>
          </w:p>
        </w:tc>
        <w:tc>
          <w:tcPr>
            <w:tcW w:w="0" w:type="dxa"/>
            <w:vAlign w:val="bottom"/>
          </w:tcPr>
          <w:p>
            <w:pPr>
              <w:spacing w:after="0"/>
              <w:rPr>
                <w:sz w:val="1"/>
                <w:szCs w:val="1"/>
                <w:color w:val="auto"/>
              </w:rPr>
            </w:pPr>
          </w:p>
        </w:tc>
      </w:tr>
      <w:tr>
        <w:trPr>
          <w:trHeight w:val="137"/>
        </w:trPr>
        <w:tc>
          <w:tcPr>
            <w:tcW w:w="6120" w:type="dxa"/>
            <w:vAlign w:val="bottom"/>
          </w:tcPr>
          <w:p>
            <w:pPr>
              <w:jc w:val="center"/>
              <w:ind w:right="3684"/>
              <w:spacing w:after="0" w:line="13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2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6120" w:type="dxa"/>
            <w:vAlign w:val="bottom"/>
          </w:tcPr>
          <w:p>
            <w:pPr>
              <w:jc w:val="center"/>
              <w:ind w:right="368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39"/>
        </w:trPr>
        <w:tc>
          <w:tcPr>
            <w:tcW w:w="6120" w:type="dxa"/>
            <w:vAlign w:val="bottom"/>
          </w:tcPr>
          <w:p>
            <w:pPr>
              <w:jc w:val="center"/>
              <w:ind w:right="3664"/>
              <w:spacing w:after="0"/>
              <w:rPr>
                <w:sz w:val="20"/>
                <w:szCs w:val="20"/>
                <w:color w:val="auto"/>
              </w:rPr>
            </w:pPr>
            <w:r>
              <w:rPr>
                <w:rFonts w:ascii="Times New Roman" w:cs="Times New Roman" w:eastAsia="Times New Roman" w:hAnsi="Times New Roman"/>
                <w:sz w:val="16"/>
                <w:szCs w:val="16"/>
                <w:b w:val="1"/>
                <w:bCs w:val="1"/>
                <w:color w:val="auto"/>
              </w:rPr>
              <w:t>61 North Beacon Street, 4th Floor</w:t>
            </w:r>
          </w:p>
        </w:tc>
        <w:tc>
          <w:tcPr>
            <w:tcW w:w="1220" w:type="dxa"/>
            <w:vAlign w:val="bottom"/>
            <w:vMerge w:val="restart"/>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02134</w:t>
            </w:r>
          </w:p>
        </w:tc>
        <w:tc>
          <w:tcPr>
            <w:tcW w:w="0" w:type="dxa"/>
            <w:vAlign w:val="bottom"/>
          </w:tcPr>
          <w:p>
            <w:pPr>
              <w:spacing w:after="0"/>
              <w:rPr>
                <w:sz w:val="1"/>
                <w:szCs w:val="1"/>
                <w:color w:val="auto"/>
              </w:rPr>
            </w:pPr>
          </w:p>
        </w:tc>
      </w:tr>
      <w:tr>
        <w:trPr>
          <w:trHeight w:val="162"/>
        </w:trPr>
        <w:tc>
          <w:tcPr>
            <w:tcW w:w="6120" w:type="dxa"/>
            <w:vAlign w:val="bottom"/>
          </w:tcPr>
          <w:p>
            <w:pPr>
              <w:jc w:val="center"/>
              <w:ind w:right="3684"/>
              <w:spacing w:after="0" w:line="162" w:lineRule="exact"/>
              <w:rPr>
                <w:sz w:val="20"/>
                <w:szCs w:val="20"/>
                <w:color w:val="auto"/>
              </w:rPr>
            </w:pPr>
            <w:r>
              <w:rPr>
                <w:rFonts w:ascii="Times New Roman" w:cs="Times New Roman" w:eastAsia="Times New Roman" w:hAnsi="Times New Roman"/>
                <w:sz w:val="16"/>
                <w:szCs w:val="16"/>
                <w:b w:val="1"/>
                <w:bCs w:val="1"/>
                <w:color w:val="auto"/>
              </w:rPr>
              <w:t>Boston, Massachusetts</w:t>
            </w: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120" w:type="dxa"/>
            <w:vAlign w:val="bottom"/>
          </w:tcPr>
          <w:p>
            <w:pPr>
              <w:jc w:val="center"/>
              <w:ind w:right="36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220" w:type="dxa"/>
            <w:vAlign w:val="bottom"/>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66"/>
        </w:trPr>
        <w:tc>
          <w:tcPr>
            <w:tcW w:w="6120" w:type="dxa"/>
            <w:vAlign w:val="bottom"/>
          </w:tcPr>
          <w:p>
            <w:pPr>
              <w:jc w:val="right"/>
              <w:ind w:right="1504"/>
              <w:spacing w:after="0"/>
              <w:rPr>
                <w:sz w:val="20"/>
                <w:szCs w:val="20"/>
                <w:color w:val="auto"/>
              </w:rPr>
            </w:pPr>
            <w:r>
              <w:rPr>
                <w:rFonts w:ascii="Times New Roman" w:cs="Times New Roman" w:eastAsia="Times New Roman" w:hAnsi="Times New Roman"/>
                <w:sz w:val="18"/>
                <w:szCs w:val="18"/>
                <w:b w:val="1"/>
                <w:bCs w:val="1"/>
                <w:color w:val="auto"/>
              </w:rPr>
              <w:t>(857) 529-8300</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12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120" w:type="dxa"/>
            <w:vAlign w:val="bottom"/>
          </w:tcPr>
          <w:p>
            <w:pPr>
              <w:jc w:val="right"/>
              <w:ind w:right="4"/>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3"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r>
      <w:tr>
        <w:trPr>
          <w:trHeight w:val="232"/>
        </w:trPr>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0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XFOR</w:t>
            </w:r>
          </w:p>
        </w:tc>
        <w:tc>
          <w:tcPr>
            <w:tcW w:w="10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30" w:lineRule="exact"/>
        <w:rPr>
          <w:sz w:val="24"/>
          <w:szCs w:val="24"/>
          <w:color w:val="auto"/>
        </w:rPr>
      </w:pPr>
    </w:p>
    <w:p>
      <w:pPr>
        <w:ind w:right="20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40"/>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4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Accelerated filer</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rPr>
              <w:t>☒</w:t>
            </w:r>
          </w:p>
        </w:tc>
        <w:tc>
          <w:tcPr>
            <w:tcW w:w="474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10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4740" w:type="dxa"/>
            <w:vAlign w:val="bottom"/>
          </w:tcPr>
          <w:p>
            <w:pPr>
              <w:ind w:left="2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00" w:type="dxa"/>
            <w:vAlign w:val="bottom"/>
          </w:tcPr>
          <w:p>
            <w:pPr>
              <w:ind w:left="6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57" w:lineRule="exact"/>
        <w:rPr>
          <w:sz w:val="24"/>
          <w:szCs w:val="24"/>
          <w:color w:val="auto"/>
        </w:rPr>
      </w:pPr>
    </w:p>
    <w:p>
      <w:pPr>
        <w:ind w:right="5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18" w:lineRule="exact"/>
        <w:rPr>
          <w:sz w:val="24"/>
          <w:szCs w:val="24"/>
          <w:color w:val="auto"/>
        </w:rPr>
      </w:pPr>
    </w:p>
    <w:p>
      <w:pPr>
        <w:spacing w:after="0" w:line="161" w:lineRule="exact"/>
        <w:tabs>
          <w:tab w:leader="none" w:pos="6660" w:val="left"/>
          <w:tab w:leader="none" w:pos="72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1, 2026, the registrant had 94,319,696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186" w:right="359" w:bottom="1440" w:gutter="0" w:footer="0" w:header="0"/>
        </w:sectPr>
      </w:pPr>
    </w:p>
    <w:bookmarkStart w:id="1" w:name="page2"/>
    <w:bookmarkEnd w:id="1"/>
    <w:p>
      <w:pPr>
        <w:ind w:left="3920"/>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ind w:left="42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20" w:type="dxa"/>
            <w:vAlign w:val="bottom"/>
            <w:tcBorders>
              <w:bottom w:val="single" w:sz="8" w:color="CCEEFF"/>
            </w:tcBorders>
            <w:shd w:val="clear" w:color="auto" w:fill="CCEEFF"/>
          </w:tcPr>
          <w:p>
            <w:pPr>
              <w:spacing w:after="0"/>
              <w:rPr>
                <w:sz w:val="23"/>
                <w:szCs w:val="23"/>
                <w:color w:val="auto"/>
              </w:rPr>
            </w:pPr>
          </w:p>
        </w:tc>
        <w:tc>
          <w:tcPr>
            <w:tcW w:w="30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56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3"/>
        </w:trPr>
        <w:tc>
          <w:tcPr>
            <w:tcW w:w="20" w:type="dxa"/>
            <w:vAlign w:val="bottom"/>
            <w:tcBorders>
              <w:top w:val="single" w:sz="8" w:color="CCEEFF"/>
            </w:tcBorders>
          </w:tcPr>
          <w:p>
            <w:pPr>
              <w:spacing w:after="0"/>
              <w:rPr>
                <w:sz w:val="21"/>
                <w:szCs w:val="21"/>
                <w:color w:val="auto"/>
              </w:rPr>
            </w:pPr>
          </w:p>
        </w:tc>
        <w:tc>
          <w:tcPr>
            <w:tcW w:w="8760" w:type="dxa"/>
            <w:vAlign w:val="bottom"/>
            <w:tcBorders>
              <w:top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1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20" w:type="dxa"/>
            <w:vAlign w:val="bottom"/>
          </w:tcPr>
          <w:p>
            <w:pPr>
              <w:spacing w:after="0"/>
              <w:rPr>
                <w:sz w:val="21"/>
                <w:szCs w:val="21"/>
                <w:color w:val="auto"/>
              </w:rPr>
            </w:pPr>
          </w:p>
        </w:tc>
        <w:tc>
          <w:tcPr>
            <w:tcW w:w="8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 Income (unaudited)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Condensed Consolidated Statements Stockholders’ Equity (unaudited)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20" w:type="dxa"/>
            <w:vAlign w:val="bottom"/>
          </w:tcPr>
          <w:p>
            <w:pPr>
              <w:spacing w:after="0"/>
              <w:rPr>
                <w:sz w:val="21"/>
                <w:szCs w:val="21"/>
                <w:color w:val="auto"/>
              </w:rPr>
            </w:pPr>
          </w:p>
        </w:tc>
        <w:tc>
          <w:tcPr>
            <w:tcW w:w="87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20" w:type="dxa"/>
            <w:vAlign w:val="bottom"/>
          </w:tcPr>
          <w:p>
            <w:pPr>
              <w:spacing w:after="0"/>
              <w:rPr>
                <w:sz w:val="21"/>
                <w:szCs w:val="21"/>
                <w:color w:val="auto"/>
              </w:rPr>
            </w:pPr>
          </w:p>
        </w:tc>
        <w:tc>
          <w:tcPr>
            <w:tcW w:w="8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20" w:type="dxa"/>
            <w:vAlign w:val="bottom"/>
          </w:tcPr>
          <w:p>
            <w:pPr>
              <w:spacing w:after="0"/>
              <w:rPr>
                <w:sz w:val="21"/>
                <w:szCs w:val="21"/>
                <w:color w:val="auto"/>
              </w:rPr>
            </w:pPr>
          </w:p>
        </w:tc>
        <w:tc>
          <w:tcPr>
            <w:tcW w:w="8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876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600" w:type="dxa"/>
            <w:vAlign w:val="bottom"/>
            <w:shd w:val="clear" w:color="auto" w:fill="CCEEFF"/>
          </w:tcPr>
          <w:p>
            <w:pPr>
              <w:spacing w:after="0"/>
              <w:rPr>
                <w:sz w:val="21"/>
                <w:szCs w:val="21"/>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27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Item 1: Legal Proceedings</w:t>
            </w:r>
          </w:p>
        </w:tc>
        <w:tc>
          <w:tcPr>
            <w:tcW w:w="5980" w:type="dxa"/>
            <w:vAlign w:val="bottom"/>
            <w:tcBorders>
              <w:top w:val="single" w:sz="8" w:color="CCEEFF"/>
            </w:tcBorders>
            <w:gridSpan w:val="2"/>
          </w:tcPr>
          <w:p>
            <w:pPr>
              <w:spacing w:after="0"/>
              <w:rPr>
                <w:sz w:val="21"/>
                <w:szCs w:val="21"/>
                <w:color w:val="auto"/>
              </w:rPr>
            </w:pPr>
          </w:p>
        </w:tc>
        <w:tc>
          <w:tcPr>
            <w:tcW w:w="16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1A: Risk Factors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20" w:type="dxa"/>
            <w:vAlign w:val="bottom"/>
          </w:tcPr>
          <w:p>
            <w:pPr>
              <w:spacing w:after="0"/>
              <w:rPr>
                <w:sz w:val="21"/>
                <w:szCs w:val="21"/>
                <w:color w:val="auto"/>
              </w:rPr>
            </w:pPr>
          </w:p>
        </w:tc>
        <w:tc>
          <w:tcPr>
            <w:tcW w:w="8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3: Defaults upon Senior Securities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20" w:type="dxa"/>
            <w:vAlign w:val="bottom"/>
          </w:tcPr>
          <w:p>
            <w:pPr>
              <w:spacing w:after="0"/>
              <w:rPr>
                <w:sz w:val="21"/>
                <w:szCs w:val="21"/>
                <w:color w:val="auto"/>
              </w:rPr>
            </w:pPr>
          </w:p>
        </w:tc>
        <w:tc>
          <w:tcPr>
            <w:tcW w:w="8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4: Mine Safety Disclosures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5: Other Information</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20" w:type="dxa"/>
            <w:vAlign w:val="bottom"/>
          </w:tcPr>
          <w:p>
            <w:pPr>
              <w:spacing w:after="0"/>
              <w:rPr>
                <w:sz w:val="21"/>
                <w:szCs w:val="21"/>
                <w:color w:val="auto"/>
              </w:rPr>
            </w:pPr>
          </w:p>
        </w:tc>
        <w:tc>
          <w:tcPr>
            <w:tcW w:w="87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Item 6: Exhibits</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2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320" w:top="920" w:right="1199" w:bottom="1440" w:gutter="0" w:footer="0" w:header="0"/>
        </w:sectPr>
      </w:pPr>
    </w:p>
    <w:bookmarkStart w:id="2" w:name="page3"/>
    <w:bookmarkEnd w:id="2"/>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unless context otherwise requires or where otherwise indicated, the terms “X4” “we,”</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“us,” “our,” and the “Company,” refer to X4 Pharmaceuticals, Inc. and its subsidiaries. 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plans, objectives, goals, strategies, future events, future operations, future financial position, future revenues or performance, projected costs, prospects, expectations, plans or intentions relating to clinical development, product candidates, the regulatory approval process, products and markets, and business trends and other information referred to in the sections titled “Risk Factors” and “Management’s Discussion and Analysis of Financial Condition and Results of Operations,” are forward-looking statements. In some cases, these statements may be identified by such forward-looking terminology as “may,” “should,” “expects,” “intends,” “plans,” “anticipates,” “believes,” “estimates,” “predicts,” “potential,” “continue” or the negative of these terms or other comparable terminology. Our forward-looking statements are based on a series of expectations, assumptions, estimates and projections about our company, are not guarantees of future results or performance and involve substantial risks and uncertainty. We may not actually achieve the plans, intentions, or expectations disclosed in these forward-looking statements and actual results or events could differ materially from the plans, intentions and expectations disclosed in these forward-looking statements. These forward-looking statements are subject to a number of known and unknown risks, uncertainties and assumptions, including risks described in the section titled “Risk Factors” and elsewhere in this report, regarding, among other things</w:t>
      </w:r>
      <w:r>
        <w:rPr>
          <w:rFonts w:ascii="Arial" w:cs="Arial" w:eastAsia="Arial" w:hAnsi="Arial"/>
          <w:sz w:val="18"/>
          <w:szCs w:val="18"/>
          <w:color w:val="auto"/>
        </w:rPr>
        <w:t>:</w:t>
      </w:r>
    </w:p>
    <w:p>
      <w:pPr>
        <w:spacing w:after="0" w:line="204" w:lineRule="exact"/>
        <w:rPr>
          <w:sz w:val="20"/>
          <w:szCs w:val="20"/>
          <w:color w:val="auto"/>
        </w:rPr>
      </w:pPr>
    </w:p>
    <w:p>
      <w:pPr>
        <w:ind w:left="1620" w:right="320" w:hanging="640"/>
        <w:spacing w:after="0" w:line="266"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or achieve sufficient revenue to properly fund our business and operating plan as well as our ability to continue as a going concern;</w:t>
      </w:r>
    </w:p>
    <w:p>
      <w:pPr>
        <w:spacing w:after="0" w:line="40" w:lineRule="exact"/>
        <w:rPr>
          <w:rFonts w:ascii="Times New Roman" w:cs="Times New Roman" w:eastAsia="Times New Roman" w:hAnsi="Times New Roman"/>
          <w:sz w:val="18"/>
          <w:szCs w:val="18"/>
          <w:color w:val="auto"/>
        </w:rPr>
      </w:pPr>
    </w:p>
    <w:p>
      <w:pPr>
        <w:ind w:left="1620" w:right="20" w:hanging="640"/>
        <w:spacing w:after="0" w:line="227"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goals for commercialization of XOLREMDI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(mavorixafor), which has been approved for use as an oral, once-daily therapy to increase the number of circulating mature neutrophils and lymphocytes in patients 12 years of age and older with WHIM (warts, hypogammaglobulinemia, infections, and myelokathexis) syndrome in the U.S., and that XOLREMDI, our one product approved for commercial sale, upon which we depend almost entirely to produce revenue, faces an unknown market size and growth potential, and we have not generated significant revenue from product sales to date, and we may never achieve profitability;</w:t>
      </w:r>
    </w:p>
    <w:p>
      <w:pPr>
        <w:spacing w:after="0" w:line="201" w:lineRule="exact"/>
        <w:rPr>
          <w:rFonts w:ascii="Times New Roman" w:cs="Times New Roman" w:eastAsia="Times New Roman" w:hAnsi="Times New Roman"/>
          <w:sz w:val="18"/>
          <w:szCs w:val="18"/>
          <w:color w:val="auto"/>
        </w:rPr>
      </w:pPr>
    </w:p>
    <w:p>
      <w:pPr>
        <w:ind w:left="1620" w:right="40" w:hanging="640"/>
        <w:spacing w:after="0" w:line="266"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preclinical studies and clinical trials and related preparatory work and the period during which the results of the trials will become available, as well as our research and development programs;</w:t>
      </w:r>
    </w:p>
    <w:p>
      <w:pPr>
        <w:spacing w:after="0" w:line="40"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including clinical utility, that may be derived from XOLREMDI or any of our product candidates;</w:t>
      </w:r>
    </w:p>
    <w:p>
      <w:pPr>
        <w:spacing w:after="0" w:line="103" w:lineRule="exact"/>
        <w:rPr>
          <w:rFonts w:ascii="Times New Roman" w:cs="Times New Roman" w:eastAsia="Times New Roman" w:hAnsi="Times New Roman"/>
          <w:sz w:val="18"/>
          <w:szCs w:val="18"/>
          <w:color w:val="auto"/>
        </w:rPr>
      </w:pPr>
    </w:p>
    <w:p>
      <w:pPr>
        <w:ind w:left="1620" w:right="500" w:hanging="640"/>
        <w:spacing w:after="0" w:line="242"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 of our existing product XOLREMDI or any product candidates that we may develop in the future, and any related restrictions, limitations, or warnings in the label of any approved product candidates;</w:t>
      </w:r>
    </w:p>
    <w:p>
      <w:pPr>
        <w:spacing w:after="0" w:line="7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manufacture and commercialize XOLREMDI or our product candidates;</w:t>
      </w:r>
    </w:p>
    <w:p>
      <w:pPr>
        <w:spacing w:after="0" w:line="103" w:lineRule="exact"/>
        <w:rPr>
          <w:rFonts w:ascii="Times New Roman" w:cs="Times New Roman" w:eastAsia="Times New Roman" w:hAnsi="Times New Roman"/>
          <w:sz w:val="18"/>
          <w:szCs w:val="18"/>
          <w:color w:val="auto"/>
        </w:rPr>
      </w:pPr>
    </w:p>
    <w:p>
      <w:pPr>
        <w:ind w:left="1620" w:right="320" w:hanging="640"/>
        <w:spacing w:after="0" w:line="250"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regulatory filings for our product candidates, along with regulatory developments in the United States and other foreign countries;</w:t>
      </w:r>
    </w:p>
    <w:p>
      <w:pPr>
        <w:spacing w:after="0" w:line="68" w:lineRule="exact"/>
        <w:rPr>
          <w:rFonts w:ascii="Times New Roman" w:cs="Times New Roman" w:eastAsia="Times New Roman" w:hAnsi="Times New Roman"/>
          <w:sz w:val="18"/>
          <w:szCs w:val="18"/>
          <w:color w:val="auto"/>
        </w:rPr>
      </w:pPr>
    </w:p>
    <w:p>
      <w:pPr>
        <w:ind w:left="1620" w:right="360" w:hanging="640"/>
        <w:spacing w:after="0" w:line="266"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XOLREMDI and our product candidates, if approved, and the rate and degree of market acceptance of XOLREMDI and our product candidates, including reimbursement that may be received from payors;</w:t>
      </w:r>
    </w:p>
    <w:p>
      <w:pPr>
        <w:spacing w:after="0" w:line="40" w:lineRule="exact"/>
        <w:rPr>
          <w:rFonts w:ascii="Times New Roman" w:cs="Times New Roman" w:eastAsia="Times New Roman" w:hAnsi="Times New Roman"/>
          <w:sz w:val="18"/>
          <w:szCs w:val="18"/>
          <w:color w:val="auto"/>
        </w:rPr>
      </w:pPr>
    </w:p>
    <w:p>
      <w:pPr>
        <w:ind w:left="1620" w:right="140" w:hanging="640"/>
        <w:spacing w:after="0" w:line="266" w:lineRule="auto"/>
        <w:tabs>
          <w:tab w:leader="none" w:pos="16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U.S. Food and Drug Administration (“FDA”) and European Commission designations, including, without limitation, Fast Track, Orphan Drug and Breakthrough Therapy;</w:t>
      </w:r>
    </w:p>
    <w:p>
      <w:pPr>
        <w:spacing w:after="0" w:line="54"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90"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1620" w:hanging="6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103"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and maintain intellectual property protection;</w:t>
      </w:r>
    </w:p>
    <w:p>
      <w:pPr>
        <w:spacing w:after="0" w:line="90"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03" w:lineRule="exact"/>
        <w:rPr>
          <w:rFonts w:ascii="Times New Roman" w:cs="Times New Roman" w:eastAsia="Times New Roman" w:hAnsi="Times New Roman"/>
          <w:sz w:val="18"/>
          <w:szCs w:val="18"/>
          <w:color w:val="auto"/>
        </w:rPr>
      </w:pPr>
    </w:p>
    <w:p>
      <w:pPr>
        <w:ind w:left="1620" w:right="560" w:hanging="640"/>
        <w:spacing w:after="0" w:line="266" w:lineRule="auto"/>
        <w:tabs>
          <w:tab w:leader="none" w:pos="1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and expectations regarding future operations, financial position, revenues, costs, expenses, uses of cash, capital requirements or our need for additional financing;</w:t>
      </w:r>
    </w:p>
    <w:p>
      <w:pPr>
        <w:spacing w:after="0" w:line="40"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in-license, acquire, develop and commercialize additional product candidates;</w:t>
      </w:r>
    </w:p>
    <w:p>
      <w:pPr>
        <w:spacing w:after="0" w:line="103"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03" w:lineRule="exact"/>
        <w:rPr>
          <w:rFonts w:ascii="Times New Roman" w:cs="Times New Roman" w:eastAsia="Times New Roman" w:hAnsi="Times New Roman"/>
          <w:sz w:val="18"/>
          <w:szCs w:val="18"/>
          <w:color w:val="auto"/>
        </w:rPr>
      </w:pPr>
    </w:p>
    <w:p>
      <w:pPr>
        <w:ind w:left="1620" w:right="320" w:hanging="640"/>
        <w:spacing w:after="0" w:line="250" w:lineRule="auto"/>
        <w:tabs>
          <w:tab w:leader="none" w:pos="16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identify additional product candidates with significant commercial potential that are consistent with our commercial objectives;</w:t>
      </w:r>
    </w:p>
    <w:p>
      <w:pPr>
        <w:spacing w:after="0" w:line="68"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strategies, prospects, plans, expectations or objectives; and</w:t>
      </w:r>
    </w:p>
    <w:p>
      <w:pPr>
        <w:spacing w:after="0" w:line="103"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section titled “Risk Factors” in this Quarterly Report.</w:t>
      </w:r>
    </w:p>
    <w:p>
      <w:pPr>
        <w:spacing w:after="0" w:line="23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should refer to the section titled “Risk Factors” in Part I, Item 1A, “Risk Factors” of our Annual Report on Form 10-K for the year ended December 31, 2025 for a discussion of important factors that may cause our actual results to differ materially from those expressed or implied by our forward-looking statements. As a result of these factors, we cannot assure you that the forward-looking statements in this Quarterly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You should, therefore, not rely on these forward-looking statements as representing our views as of any date subsequent to the date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26"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7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216,908</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217,049</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16,812</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35,949</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07"/>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241,982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261,577</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0" w:type="dxa"/>
            <w:vAlign w:val="bottom"/>
          </w:tcPr>
          <w:p>
            <w:pPr>
              <w:spacing w:after="0"/>
              <w:rPr>
                <w:sz w:val="1"/>
                <w:szCs w:val="1"/>
                <w:color w:val="auto"/>
              </w:rPr>
            </w:pPr>
          </w:p>
        </w:tc>
      </w:tr>
      <w:tr>
        <w:trPr>
          <w:trHeight w:val="207"/>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270,281</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290,461</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18,603</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lease liability</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25,757</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including accretion, net of discount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76,291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Warrant liability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07"/>
        </w:trPr>
        <w:tc>
          <w:tcPr>
            <w:tcW w:w="75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101,831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104,171</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5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10,000,000 shares authorized and no shares issued and outstanding as of</w:t>
            </w:r>
          </w:p>
        </w:tc>
        <w:tc>
          <w:tcPr>
            <w:tcW w:w="24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240" w:type="dxa"/>
            <w:vAlign w:val="bottom"/>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Common stock, $0.001 par value, 500,000,000 shares authorized as of March 31, 2026 and December 31, 2025,</w:t>
            </w: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5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respectively; 94,319,696 and 90,906,920 shares issued and outstanding as of March 31, 2026 and December 31,</w:t>
            </w:r>
          </w:p>
        </w:tc>
        <w:tc>
          <w:tcPr>
            <w:tcW w:w="24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respectively</w:t>
            </w: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783,273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780,862</w:t>
            </w:r>
          </w:p>
        </w:tc>
        <w:tc>
          <w:tcPr>
            <w:tcW w:w="0" w:type="dxa"/>
            <w:vAlign w:val="bottom"/>
          </w:tcPr>
          <w:p>
            <w:pPr>
              <w:spacing w:after="0"/>
              <w:rPr>
                <w:sz w:val="1"/>
                <w:szCs w:val="1"/>
                <w:color w:val="auto"/>
              </w:rPr>
            </w:pPr>
          </w:p>
        </w:tc>
      </w:tr>
      <w:tr>
        <w:trPr>
          <w:trHeight w:val="213"/>
        </w:trPr>
        <w:tc>
          <w:tcPr>
            <w:tcW w:w="7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9"/>
        </w:trPr>
        <w:tc>
          <w:tcPr>
            <w:tcW w:w="7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(614,795)</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(594,554)</w:t>
            </w:r>
          </w:p>
        </w:tc>
        <w:tc>
          <w:tcPr>
            <w:tcW w:w="0" w:type="dxa"/>
            <w:vAlign w:val="bottom"/>
          </w:tcPr>
          <w:p>
            <w:pPr>
              <w:spacing w:after="0"/>
              <w:rPr>
                <w:sz w:val="1"/>
                <w:szCs w:val="1"/>
                <w:color w:val="auto"/>
              </w:rPr>
            </w:pPr>
          </w:p>
        </w:tc>
      </w:tr>
      <w:tr>
        <w:trPr>
          <w:trHeight w:val="207"/>
        </w:trPr>
        <w:tc>
          <w:tcPr>
            <w:tcW w:w="75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168,450</w:t>
            </w: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186,290</w:t>
            </w:r>
          </w:p>
        </w:tc>
        <w:tc>
          <w:tcPr>
            <w:tcW w:w="0" w:type="dxa"/>
            <w:vAlign w:val="bottom"/>
          </w:tcPr>
          <w:p>
            <w:pPr>
              <w:spacing w:after="0"/>
              <w:rPr>
                <w:sz w:val="1"/>
                <w:szCs w:val="1"/>
                <w:color w:val="auto"/>
              </w:rPr>
            </w:pPr>
          </w:p>
        </w:tc>
      </w:tr>
      <w:tr>
        <w:trPr>
          <w:trHeight w:val="237"/>
        </w:trPr>
        <w:tc>
          <w:tcPr>
            <w:tcW w:w="75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270,281</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290,461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3640" w:type="dxa"/>
            <w:vAlign w:val="bottom"/>
            <w:tcBorders>
              <w:top w:val="single" w:sz="8" w:color="auto"/>
              <w:bottom w:val="single" w:sz="8" w:color="auto"/>
            </w:tcBorders>
            <w:gridSpan w:val="4"/>
          </w:tcPr>
          <w:p>
            <w:pPr>
              <w:jc w:val="right"/>
              <w:ind w:right="9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and other revenue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Product revenue, net</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revenue</w:t>
            </w: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28,807</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18,513</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0" w:type="dxa"/>
            <w:vAlign w:val="bottom"/>
          </w:tcPr>
          <w:p>
            <w:pPr>
              <w:spacing w:after="0"/>
              <w:rPr>
                <w:sz w:val="1"/>
                <w:szCs w:val="1"/>
                <w:color w:val="auto"/>
              </w:rPr>
            </w:pPr>
          </w:p>
        </w:tc>
      </w:tr>
      <w:tr>
        <w:trPr>
          <w:trHeight w:val="223"/>
        </w:trPr>
        <w:tc>
          <w:tcPr>
            <w:tcW w:w="71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w:t>
            </w: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38,250</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229"/>
        </w:trPr>
        <w:tc>
          <w:tcPr>
            <w:tcW w:w="7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income, net</w:t>
            </w:r>
          </w:p>
        </w:tc>
        <w:tc>
          <w:tcPr>
            <w:tcW w:w="5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5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126,288,723</w:t>
            </w: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6,840,035</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126,288,723</w:t>
            </w:r>
          </w:p>
        </w:tc>
        <w:tc>
          <w:tcPr>
            <w:tcW w:w="1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6,869,084</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income</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net unrealized gains on marketable debt securities</w:t>
            </w:r>
          </w:p>
        </w:tc>
        <w:tc>
          <w:tcPr>
            <w:tcW w:w="5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(20,254)</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2503805</wp:posOffset>
            </wp:positionH>
            <wp:positionV relativeFrom="paragraph">
              <wp:posOffset>825500</wp:posOffset>
            </wp:positionV>
            <wp:extent cx="3926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40" w:type="dxa"/>
            <w:vAlign w:val="bottom"/>
          </w:tcPr>
          <w:p>
            <w:pPr>
              <w:spacing w:after="0"/>
              <w:rPr>
                <w:sz w:val="12"/>
                <w:szCs w:val="12"/>
                <w:color w:val="auto"/>
              </w:rPr>
            </w:pPr>
          </w:p>
        </w:tc>
        <w:tc>
          <w:tcPr>
            <w:tcW w:w="1680" w:type="dxa"/>
            <w:vAlign w:val="bottom"/>
            <w:gridSpan w:val="3"/>
            <w:vMerge w:val="restart"/>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940" w:type="dxa"/>
            <w:vAlign w:val="bottom"/>
          </w:tcPr>
          <w:p>
            <w:pPr>
              <w:spacing w:after="0"/>
              <w:rPr>
                <w:sz w:val="10"/>
                <w:szCs w:val="10"/>
                <w:color w:val="auto"/>
              </w:rPr>
            </w:pPr>
          </w:p>
        </w:tc>
        <w:tc>
          <w:tcPr>
            <w:tcW w:w="168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40" w:type="dxa"/>
            <w:vAlign w:val="bottom"/>
          </w:tcPr>
          <w:p>
            <w:pPr>
              <w:spacing w:after="0"/>
              <w:rPr>
                <w:sz w:val="10"/>
                <w:szCs w:val="10"/>
                <w:color w:val="auto"/>
              </w:rPr>
            </w:pPr>
          </w:p>
        </w:tc>
        <w:tc>
          <w:tcPr>
            <w:tcW w:w="10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4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102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0"/>
                <w:szCs w:val="10"/>
                <w:color w:val="auto"/>
              </w:rPr>
            </w:pPr>
          </w:p>
        </w:tc>
        <w:tc>
          <w:tcPr>
            <w:tcW w:w="900" w:type="dxa"/>
            <w:vAlign w:val="bottom"/>
          </w:tcPr>
          <w:p>
            <w:pPr>
              <w:jc w:val="center"/>
              <w:ind w:right="31"/>
              <w:spacing w:after="0" w:line="115"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4"/>
                <w:szCs w:val="14"/>
                <w:color w:val="auto"/>
              </w:rPr>
            </w:pPr>
          </w:p>
        </w:tc>
        <w:tc>
          <w:tcPr>
            <w:tcW w:w="90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5,698,231</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5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537,620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(515,355)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22,149</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90,514</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0" w:type="dxa"/>
            <w:vAlign w:val="bottom"/>
          </w:tcPr>
          <w:p>
            <w:pPr>
              <w:spacing w:after="0"/>
              <w:rPr>
                <w:sz w:val="1"/>
                <w:szCs w:val="1"/>
                <w:color w:val="auto"/>
              </w:rPr>
            </w:pPr>
          </w:p>
        </w:tc>
      </w:tr>
      <w:tr>
        <w:trPr>
          <w:trHeight w:val="195"/>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5,788,745</w:t>
            </w:r>
          </w:p>
        </w:tc>
        <w:tc>
          <w:tcPr>
            <w:tcW w:w="80" w:type="dxa"/>
            <w:vAlign w:val="bottom"/>
          </w:tcPr>
          <w:p>
            <w:pPr>
              <w:spacing w:after="0"/>
              <w:rPr>
                <w:sz w:val="16"/>
                <w:szCs w:val="16"/>
                <w:color w:val="auto"/>
              </w:rPr>
            </w:pPr>
          </w:p>
        </w:tc>
        <w:tc>
          <w:tcPr>
            <w:tcW w:w="6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538,139</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(515,073)</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22,944</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522605</wp:posOffset>
            </wp:positionV>
            <wp:extent cx="3943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433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172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920" w:type="dxa"/>
            <w:vAlign w:val="bottom"/>
          </w:tcPr>
          <w:p>
            <w:pPr>
              <w:spacing w:after="0"/>
              <w:rPr>
                <w:sz w:val="10"/>
                <w:szCs w:val="10"/>
                <w:color w:val="auto"/>
              </w:rPr>
            </w:pPr>
          </w:p>
        </w:tc>
        <w:tc>
          <w:tcPr>
            <w:tcW w:w="1720" w:type="dxa"/>
            <w:vAlign w:val="bottom"/>
            <w:tcBorders>
              <w:bottom w:val="single" w:sz="8" w:color="auto"/>
            </w:tcBorders>
            <w:gridSpan w:val="3"/>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3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40" w:type="dxa"/>
            <w:vAlign w:val="bottom"/>
            <w:gridSpan w:val="3"/>
          </w:tcPr>
          <w:p>
            <w:pPr>
              <w:jc w:val="center"/>
              <w:ind w:right="80"/>
              <w:spacing w:after="0" w:line="102"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8"/>
                <w:szCs w:val="8"/>
                <w:color w:val="auto"/>
              </w:rPr>
            </w:pPr>
          </w:p>
        </w:tc>
        <w:tc>
          <w:tcPr>
            <w:tcW w:w="102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00" w:type="dxa"/>
            <w:vAlign w:val="bottom"/>
          </w:tcPr>
          <w:p>
            <w:pPr>
              <w:spacing w:after="0"/>
              <w:rPr>
                <w:sz w:val="8"/>
                <w:szCs w:val="8"/>
                <w:color w:val="auto"/>
              </w:rPr>
            </w:pPr>
          </w:p>
        </w:tc>
        <w:tc>
          <w:tcPr>
            <w:tcW w:w="900" w:type="dxa"/>
            <w:vAlign w:val="bottom"/>
          </w:tcPr>
          <w:p>
            <w:pPr>
              <w:jc w:val="center"/>
              <w:ind w:right="32"/>
              <w:spacing w:after="0" w:line="102"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83"/>
        </w:trPr>
        <w:tc>
          <w:tcPr>
            <w:tcW w:w="392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203"/>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90,906,920</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91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780,862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(594,554)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186,290</w:t>
            </w: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12,776</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prefunded warrants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3,400,000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w:t>
            </w: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marketable securities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(20,241)</w:t>
            </w:r>
          </w:p>
        </w:tc>
        <w:tc>
          <w:tcPr>
            <w:tcW w:w="0" w:type="dxa"/>
            <w:vAlign w:val="bottom"/>
          </w:tcPr>
          <w:p>
            <w:pPr>
              <w:spacing w:after="0"/>
              <w:rPr>
                <w:sz w:val="1"/>
                <w:szCs w:val="1"/>
                <w:color w:val="auto"/>
              </w:rPr>
            </w:pPr>
          </w:p>
        </w:tc>
      </w:tr>
      <w:tr>
        <w:trPr>
          <w:trHeight w:val="22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94,319,696</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94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783,273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(614,795)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168,450</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880" w:top="117" w:right="8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60" w:type="dxa"/>
            <w:vAlign w:val="bottom"/>
          </w:tcPr>
          <w:p>
            <w:pPr>
              <w:spacing w:after="0"/>
              <w:rPr>
                <w:sz w:val="19"/>
                <w:szCs w:val="19"/>
                <w:color w:val="auto"/>
              </w:rPr>
            </w:pPr>
          </w:p>
        </w:tc>
        <w:tc>
          <w:tcPr>
            <w:tcW w:w="28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top w:val="single" w:sz="8" w:color="auto"/>
              <w:bottom w:val="single" w:sz="8" w:color="auto"/>
            </w:tcBorders>
          </w:tcPr>
          <w:p>
            <w:pPr>
              <w:spacing w:after="0"/>
              <w:rPr>
                <w:sz w:val="19"/>
                <w:szCs w:val="19"/>
                <w:color w:val="auto"/>
              </w:rPr>
            </w:pPr>
          </w:p>
        </w:tc>
      </w:tr>
      <w:tr>
        <w:trPr>
          <w:trHeight w:val="208"/>
        </w:trPr>
        <w:tc>
          <w:tcPr>
            <w:tcW w:w="766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18"/>
                <w:szCs w:val="18"/>
                <w:color w:val="auto"/>
              </w:rPr>
            </w:pPr>
          </w:p>
        </w:tc>
      </w:tr>
      <w:tr>
        <w:trPr>
          <w:trHeight w:val="197"/>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06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income to net cash used in operating activities: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13"/>
        </w:trPr>
        <w:tc>
          <w:tcPr>
            <w:tcW w:w="7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1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3"/>
        </w:trPr>
        <w:tc>
          <w:tcPr>
            <w:tcW w:w="7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Accretion of debt discount</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1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(10,830)</w:t>
            </w:r>
          </w:p>
        </w:tc>
      </w:tr>
      <w:tr>
        <w:trPr>
          <w:trHeight w:val="213"/>
        </w:trPr>
        <w:tc>
          <w:tcPr>
            <w:tcW w:w="7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13"/>
        </w:trPr>
        <w:tc>
          <w:tcPr>
            <w:tcW w:w="7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r>
      <w:tr>
        <w:trPr>
          <w:trHeight w:val="21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Inventory</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3"/>
        </w:trPr>
        <w:tc>
          <w:tcPr>
            <w:tcW w:w="7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other current and non-current assets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2,476</w:t>
            </w:r>
          </w:p>
        </w:tc>
      </w:tr>
      <w:tr>
        <w:trPr>
          <w:trHeight w:val="213"/>
        </w:trPr>
        <w:tc>
          <w:tcPr>
            <w:tcW w:w="76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long-term liabilities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(7,782)</w:t>
            </w:r>
          </w:p>
        </w:tc>
      </w:tr>
      <w:tr>
        <w:trPr>
          <w:trHeight w:val="232"/>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w:t>
            </w:r>
          </w:p>
        </w:tc>
      </w:tr>
      <w:tr>
        <w:trPr>
          <w:trHeight w:val="213"/>
        </w:trPr>
        <w:tc>
          <w:tcPr>
            <w:tcW w:w="76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Lease liabilities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212"/>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(19,599)</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(12,368)</w:t>
            </w:r>
          </w:p>
        </w:tc>
      </w:tr>
      <w:tr>
        <w:trPr>
          <w:trHeight w:val="194"/>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18"/>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intangible asset</w:t>
            </w:r>
          </w:p>
        </w:tc>
        <w:tc>
          <w:tcPr>
            <w:tcW w:w="10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10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(11,888)</w:t>
            </w: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maturities of marketable securities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19,252</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11,750</w:t>
            </w:r>
          </w:p>
        </w:tc>
      </w:tr>
      <w:tr>
        <w:trPr>
          <w:trHeight w:val="207"/>
        </w:trPr>
        <w:tc>
          <w:tcPr>
            <w:tcW w:w="766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19,252</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w:t>
            </w: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213"/>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exercise of pre-funded warrants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1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decrease in cash, cash equivalents and restricted cash</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(15,434)</w:t>
            </w:r>
          </w:p>
        </w:tc>
      </w:tr>
      <w:tr>
        <w:trPr>
          <w:trHeight w:val="21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217,852</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56,475</w:t>
            </w:r>
          </w:p>
        </w:tc>
      </w:tr>
      <w:tr>
        <w:trPr>
          <w:trHeight w:val="23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6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217,487</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41,041</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765" w:right="379" w:bottom="1440" w:gutter="0" w:footer="0" w:header="0"/>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Description of Business and Summary of Significant Accounting Policies</w:t>
      </w:r>
    </w:p>
    <w:p>
      <w:pPr>
        <w:spacing w:after="0" w:line="25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X4 Pharmaceuticals Inc., together with its subsidiaries (the “Company”), is a biopharmaceutical company developing and commercializing novel therapeutics for the treatment of rare hematology diseases. The Company continues to progress its global, pivotal Phase 3 clinical trial, (the “4WARD” trial) to evaluate the efficacy, safety, and tolerability of oral, once-daily mavorixafor (with or without stable doses of granulocyte colony-stimulating factor (“G-CSF”)) in people with congenital, acquired primary autoimmune, or idiopathic chronic neutropenia (“CN”) who are experiencing recurrent and/or serious infections. The 52-week trial is a randomized, double-blind, placebo-controlled, multicenter study aiming to enroll up to 176 patients, with full enrollment expected by the end of the third quarter of 2026. The U.S. Food and Drug Administration (“FDA”) has granted Fast Track designation to mavorixafor for the treatment of CN, which is defined as periods lasting more than three months persistently or intermittently where there are abnormally low levels of neutrophils circulating in the blood, and may be idiopathic (of unknown origin), cyclic (episodes typically occurring every three weeks), or congenital (of genetic causation). CN disorders are rare blood conditions similarly characterized by increased risks of infections and cancer due to abnormally low levels of neutrophils in the body. In all cases, the CXCL12/CXCR4 pathway is the key regulator of neutrophil release from the bone marrow. The Company has one commercially approved product, XOLREMDI ® (mavorixafor), which has received accelerated approval in the United States from the FDA for use as an oral, once-daily therapy in patients 12 years of age and older with WHIM (warts, hypogammaglobulinemia, infections, and myelokathexis) syndrome, to increase the number of circulating mature neutrophils and lymphocytes. WHIM syndrome is a rare combined primary immunodeficiency and chronic neutropenic disorder. The Company is committed to making XOLREMDI available to patients in need in the U.S. while maintaining its focus on its long-term strategy to successfully complete the 4WARD trial in patients with moderate and severe CN. The Company is headquartered in Boston, Massachusetts.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6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as of and for the three months ended March 31, 2026 and 2025, respectively have been prepared in accordance with accounting principles generally accepted in the U.S. for interim financial information and with the instructions to the Quarterly Report on Form 10-Q and Article 10 of Regulation S-X. Accordingly,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In the opinion of management, all adjustments, consisting only of normal recurring adjustments as necessary, for the fair statement of the Company’s condensed financial position, condensed results of its operations and cash flows have been made. Operating results for the three months ended March 31, 2026 are not necessarily indicative of the results that may be expected for the entire year or for any other subsequent interim period.</w:t>
      </w:r>
    </w:p>
    <w:p>
      <w:pPr>
        <w:spacing w:after="0" w:line="215"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Company’s audited financial statements and the notes thereto for the year ended December 31, 2025 included in its Annual Report on Form 10-K filed with the Securities and Exchange Commission (“SEC”) on March 17, 2026. The condensed consolidated balance sheet at December 31, 2025 that is presented in these interim condensed consolidated financial statements was derived from audited financial statements but does not include all disclosures required by GAAP.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65"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wholly-owned subsidiaries, including X4 Pharmaceuticals (Austria) GmbH, which is incorporated in Vienna, Austria, and X4 Therapeutics, Inc. All intercompany accounts and transactions have been eliminated.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65"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the accrual of research and development expenses, the accrual of operational and financial license milestones, the accrual of reserves for variable consideration related to product revenue, and the impairment or lack of impairment of long-lived assets including operating lease right-of-use assets and goodwill. The Company bases its estimates on historical experience, known trends and other market-specific or other relevant factors that it believes to be reasonable under the</w:t>
      </w: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circumstances. On an ongoing basis, management evaluates its estimates when there are changes in circumstances, facts and experience. Changes in estimates are recorded in the period in which they become known. As of the date of issuance of these condensed consolidated financial statements, the Company is not aware of any specific event or circumstance that would require the Company to update its estimates, assumptions and judgments or revise the carrying value of its assets or liabilities. Actual results could differ from those estimates, and any such differences may be material to the Company’s condensed consolidated 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6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 the Company’s ability to continue as a going concern within one year after the date that the condensed consolidated financial statements are issued. Although the Company has an approved drug product, licensing and sales of the Company’s drug product over the next 12 months will not be sufficient to fund the Company’s operating expenses. Since inception, the Company has incurred significant operating losses and negative cash flows from operations, and the Company expects to continue to generate operating losses and negative cash flows from operations for the foreseeable future. For the three months ended March 31, 2026, the Company’s net loss was $20.2 million and net cash used in operating activities was $19.6 million. As of March 31, 2026, the Company had $233.7 million of cash, cash equivalents and short-term marketable securities, and an accumulated deficit of $614.8 million.</w:t>
      </w:r>
    </w:p>
    <w:p>
      <w:pPr>
        <w:spacing w:after="0" w:line="324" w:lineRule="exact"/>
        <w:rPr>
          <w:sz w:val="20"/>
          <w:szCs w:val="20"/>
          <w:color w:val="auto"/>
        </w:rPr>
      </w:pPr>
    </w:p>
    <w:p>
      <w:pPr>
        <w:jc w:val="both"/>
        <w:ind w:right="120"/>
        <w:spacing w:after="0" w:line="289" w:lineRule="auto"/>
        <w:rPr>
          <w:sz w:val="20"/>
          <w:szCs w:val="20"/>
          <w:color w:val="auto"/>
        </w:rPr>
      </w:pPr>
      <w:r>
        <w:rPr>
          <w:rFonts w:ascii="Times New Roman" w:cs="Times New Roman" w:eastAsia="Times New Roman" w:hAnsi="Times New Roman"/>
          <w:sz w:val="17"/>
          <w:szCs w:val="17"/>
          <w:color w:val="auto"/>
        </w:rPr>
        <w:t>Based on its current operating plan, the Company believes (a) that its current cash, cash equivalents and short-term marketable securities will be sufficient to fund its operations for at least the next 12 months and (b) it will continue to comply with all covenants under the Hercules Loan Agreement, as defined and further described in Note 8, through at least the 12-month period from the issuance date of these condensed consolidated financial statements.</w:t>
      </w:r>
    </w:p>
    <w:p>
      <w:pPr>
        <w:spacing w:after="0" w:line="23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uncertainties relating to conducting preclinical and clinical research and development, the manufacture and supply of products and product candidates for clinical and commercial use, obtaining and maintaining regulatory approvals and pricing and reimbursement for its products and product candidates, market acceptance, managing global growth and operating expenses, availability of additional capital, competition, obtaining and enforcing patents, stock price volatility, dependence on collaborative relationships and third-party service providers, dependence on key personnel, and from time to time government investigations, litigation, and potential product liability claims.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6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consolidated financial statements and the notes thereto in the Company’s Annual Report on Form 10-K for the year ended December 31, 2025 filed with the SEC on March 17, 2026. Since the date of those consolidated financial statements, there have been no material changes to the Company’s significant accounting policies.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 of credit security: Vienna Austria lease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Letter of credit security: Boston lease</w:t>
            </w: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48"/>
        </w:trPr>
        <w:tc>
          <w:tcPr>
            <w:tcW w:w="6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restricted cash</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lease agreements for its facilities in Boston, Massachusetts, the Company maintains a letter of credit, which is secured by restricted cash, for the benefit of the respective landlord. As of December 31, 2025, restricted cash related to the Company’s former Vienna, Austria lease, which the Company terminated effective November 30, 2025, is included in other current assets and was subsequently converted to unrestricted cash during the three months ended March 31, 2026. Restricted cash related to the Boston lease is also included in other current assets.</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accordance with the Company’s Hercules Loan Agreement, the Company at all times must maintain a minimum level of cash of $15.0 million in an account or accounts in which Hercules has a first priority security interest.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Restricted Cash and Marketable Securities</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to the total of amounts shown in the Company’s condensed consolidated statements of cash flows as of March 31, 2026 and 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217,049</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current (included within prepaid expenses and other current assets)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Company’s cash equivalents consisted of money market funds invested in U.S. Treasury securities. The money market funds were valued based on quoted prices in active markets for identical assets, which represents a Level 1 measurement. All marketable securities are classified as short-term investments as all are due within one year and include investments in U.S. Treasury notes, U.S. Treasury bills and federal government agency notes. The amortized cost of each investment, individually and in aggregate, approximated fair value. The Company has evaluated each marketable security for impairment that is other-than-temporary and concluded that no marketable security was impaired as of March 31, 2026 and December 31, 2025.</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3620" w:type="dxa"/>
            <w:vAlign w:val="bottom"/>
            <w:tcBorders>
              <w:top w:val="single" w:sz="8" w:color="auto"/>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 Using:</w:t>
            </w:r>
          </w:p>
        </w:tc>
        <w:tc>
          <w:tcPr>
            <w:tcW w:w="980" w:type="dxa"/>
            <w:vAlign w:val="bottom"/>
            <w:tcBorders>
              <w:top w:val="single" w:sz="8" w:color="auto"/>
              <w:bottom w:val="single" w:sz="8" w:color="auto"/>
            </w:tcBorders>
          </w:tcPr>
          <w:p>
            <w:pPr>
              <w:spacing w:after="0"/>
              <w:rPr>
                <w:sz w:val="18"/>
                <w:szCs w:val="18"/>
                <w:color w:val="auto"/>
              </w:rPr>
            </w:pP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76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9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3"/>
        </w:trPr>
        <w:tc>
          <w:tcPr>
            <w:tcW w:w="564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spacing w:after="0"/>
              <w:rPr>
                <w:sz w:val="21"/>
                <w:szCs w:val="2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214,009</w:t>
            </w:r>
          </w:p>
        </w:tc>
      </w:tr>
      <w:tr>
        <w:trPr>
          <w:trHeight w:val="176"/>
        </w:trPr>
        <w:tc>
          <w:tcPr>
            <w:tcW w:w="564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Marketable securities— U.S. Treasury notes, U.S. Treasury bills, and</w:t>
            </w: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government agency notes</w:t>
            </w: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r>
      <w:tr>
        <w:trPr>
          <w:trHeight w:val="223"/>
        </w:trPr>
        <w:tc>
          <w:tcPr>
            <w:tcW w:w="56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214,009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230,821</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25"/>
        </w:trPr>
        <w:tc>
          <w:tcPr>
            <w:tcW w:w="5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9"/>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190"/>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 Using:</w:t>
            </w:r>
          </w:p>
        </w:tc>
        <w:tc>
          <w:tcPr>
            <w:tcW w:w="920" w:type="dxa"/>
            <w:vAlign w:val="bottom"/>
            <w:tcBorders>
              <w:bottom w:val="single" w:sz="8" w:color="auto"/>
            </w:tcBorders>
          </w:tcPr>
          <w:p>
            <w:pPr>
              <w:spacing w:after="0"/>
              <w:rPr>
                <w:sz w:val="16"/>
                <w:szCs w:val="16"/>
                <w:color w:val="auto"/>
              </w:rPr>
            </w:pPr>
          </w:p>
        </w:tc>
      </w:tr>
      <w:tr>
        <w:trPr>
          <w:trHeight w:val="196"/>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Pr>
          <w:p>
            <w:pPr>
              <w:spacing w:after="0"/>
              <w:rPr>
                <w:sz w:val="17"/>
                <w:szCs w:val="17"/>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6"/>
        </w:trPr>
        <w:tc>
          <w:tcPr>
            <w:tcW w:w="56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r>
      <w:tr>
        <w:trPr>
          <w:trHeight w:val="230"/>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123,838</w:t>
            </w:r>
          </w:p>
        </w:tc>
      </w:tr>
      <w:tr>
        <w:trPr>
          <w:trHeight w:val="184"/>
        </w:trPr>
        <w:tc>
          <w:tcPr>
            <w:tcW w:w="56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Marketable securities—U.S. Treasury notes, U.S. Treasury bills, and</w:t>
            </w: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4"/>
        </w:trPr>
        <w:tc>
          <w:tcPr>
            <w:tcW w:w="5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 government agency notes</w:t>
            </w: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35,949</w:t>
            </w:r>
          </w:p>
        </w:tc>
      </w:tr>
      <w:tr>
        <w:trPr>
          <w:trHeight w:val="223"/>
        </w:trPr>
        <w:tc>
          <w:tcPr>
            <w:tcW w:w="56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159,787</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amortized cost, unrealized gains and losses and the carrying amount of available-for-sale debt marketable securities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8"/>
                <w:szCs w:val="18"/>
                <w:color w:val="auto"/>
              </w:rPr>
            </w:pPr>
          </w:p>
        </w:tc>
        <w:tc>
          <w:tcPr>
            <w:tcW w:w="16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0" w:type="dxa"/>
            <w:vAlign w:val="bottom"/>
          </w:tcPr>
          <w:p>
            <w:pPr>
              <w:spacing w:after="0"/>
              <w:rPr>
                <w:sz w:val="18"/>
                <w:szCs w:val="18"/>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4"/>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r>
      <w:tr>
        <w:trPr>
          <w:trHeight w:val="229"/>
        </w:trPr>
        <w:tc>
          <w:tcPr>
            <w:tcW w:w="4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Federal Government Agency securities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w:t>
            </w:r>
          </w:p>
        </w:tc>
      </w:tr>
      <w:tr>
        <w:trPr>
          <w:trHeight w:val="248"/>
        </w:trPr>
        <w:tc>
          <w:tcPr>
            <w:tcW w:w="41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amortized cost, unrealized gains and losses and the carrying amount of available-for-sale debt marketable securities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18"/>
                <w:szCs w:val="18"/>
                <w:color w:val="auto"/>
              </w:rPr>
            </w:pPr>
          </w:p>
        </w:tc>
        <w:tc>
          <w:tcPr>
            <w:tcW w:w="166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60" w:type="dxa"/>
            <w:vAlign w:val="bottom"/>
          </w:tcPr>
          <w:p>
            <w:pPr>
              <w:spacing w:after="0"/>
              <w:rPr>
                <w:sz w:val="18"/>
                <w:szCs w:val="18"/>
                <w:color w:val="auto"/>
              </w:rPr>
            </w:pPr>
          </w:p>
        </w:tc>
        <w:tc>
          <w:tcPr>
            <w:tcW w:w="1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1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w:t>
            </w:r>
          </w:p>
        </w:tc>
      </w:tr>
      <w:tr>
        <w:trPr>
          <w:trHeight w:val="229"/>
        </w:trPr>
        <w:tc>
          <w:tcPr>
            <w:tcW w:w="41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Federal Government Agency securities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6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27,987</w:t>
            </w:r>
          </w:p>
        </w:tc>
      </w:tr>
      <w:tr>
        <w:trPr>
          <w:trHeight w:val="248"/>
        </w:trPr>
        <w:tc>
          <w:tcPr>
            <w:tcW w:w="4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debt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35,939</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35,949</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Liabilities Measured at Fair Value</w:t>
      </w:r>
    </w:p>
    <w:p>
      <w:pPr>
        <w:spacing w:after="0" w:line="6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liabilities measured at fair value on a recurring basis and indicate the level of the fair value hierarchy used to determine such fair values:</w:t>
      </w:r>
    </w:p>
    <w:tbl>
      <w:tblPr>
        <w:tblLayout w:type="fixed"/>
        <w:tblInd w:w="0" w:type="dxa"/>
        <w:tblCellMar>
          <w:top w:w="0" w:type="dxa"/>
          <w:left w:w="0" w:type="dxa"/>
          <w:bottom w:w="0" w:type="dxa"/>
          <w:right w:w="0" w:type="dxa"/>
        </w:tblCellMar>
      </w:tblPr>
      <w:tr>
        <w:trPr>
          <w:trHeight w:val="191"/>
        </w:trPr>
        <w:tc>
          <w:tcPr>
            <w:tcW w:w="52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3580" w:type="dxa"/>
            <w:vAlign w:val="bottom"/>
            <w:tcBorders>
              <w:top w:val="single" w:sz="8" w:color="auto"/>
              <w:bottom w:val="single" w:sz="8" w:color="auto"/>
            </w:tcBorders>
            <w:gridSpan w:val="9"/>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Measurements as of March 31, 2026 Using:</w:t>
            </w:r>
          </w:p>
        </w:tc>
        <w:tc>
          <w:tcPr>
            <w:tcW w:w="1100" w:type="dxa"/>
            <w:vAlign w:val="bottom"/>
            <w:tcBorders>
              <w:top w:val="single" w:sz="8" w:color="auto"/>
              <w:bottom w:val="single" w:sz="8" w:color="auto"/>
            </w:tcBorders>
          </w:tcPr>
          <w:p>
            <w:pPr>
              <w:spacing w:after="0"/>
              <w:rPr>
                <w:sz w:val="16"/>
                <w:szCs w:val="16"/>
                <w:color w:val="auto"/>
              </w:rPr>
            </w:pPr>
          </w:p>
        </w:tc>
      </w:tr>
      <w:tr>
        <w:trPr>
          <w:trHeight w:val="196"/>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7"/>
                <w:szCs w:val="17"/>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7"/>
                <w:szCs w:val="17"/>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3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C warrant liability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23"/>
        </w:trPr>
        <w:tc>
          <w:tcPr>
            <w:tcW w:w="5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0"/>
        </w:trPr>
        <w:tc>
          <w:tcPr>
            <w:tcW w:w="5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4720" w:type="dxa"/>
            <w:vAlign w:val="bottom"/>
            <w:tcBorders>
              <w:top w:val="single" w:sz="8" w:color="auto"/>
              <w:bottom w:val="single" w:sz="8" w:color="auto"/>
            </w:tcBorders>
            <w:gridSpan w:val="9"/>
          </w:tcPr>
          <w:p>
            <w:pPr>
              <w:ind w:left="980"/>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2025 Using:</w:t>
            </w:r>
          </w:p>
        </w:tc>
        <w:tc>
          <w:tcPr>
            <w:tcW w:w="1080" w:type="dxa"/>
            <w:vAlign w:val="bottom"/>
            <w:tcBorders>
              <w:top w:val="single" w:sz="8" w:color="auto"/>
              <w:bottom w:val="single" w:sz="8" w:color="auto"/>
            </w:tcBorders>
          </w:tcPr>
          <w:p>
            <w:pPr>
              <w:spacing w:after="0"/>
              <w:rPr>
                <w:sz w:val="18"/>
                <w:szCs w:val="18"/>
                <w:color w:val="auto"/>
              </w:rPr>
            </w:pPr>
          </w:p>
        </w:tc>
      </w:tr>
      <w:tr>
        <w:trPr>
          <w:trHeight w:val="196"/>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80" w:type="dxa"/>
            <w:vAlign w:val="bottom"/>
          </w:tcPr>
          <w:p>
            <w:pPr>
              <w:spacing w:after="0"/>
              <w:rPr>
                <w:sz w:val="17"/>
                <w:szCs w:val="17"/>
                <w:color w:val="auto"/>
              </w:rPr>
            </w:pPr>
          </w:p>
        </w:tc>
        <w:tc>
          <w:tcPr>
            <w:tcW w:w="10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Embedded derivative liability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C warrant liability</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3"/>
        </w:trPr>
        <w:tc>
          <w:tcPr>
            <w:tcW w:w="5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0"/>
        </w:trPr>
        <w:tc>
          <w:tcPr>
            <w:tcW w:w="5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roll-forward for the three months ended March 31, 2026 of the aggregate fair values of financial instruments for which fair values are determined using Level 3 inputs: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Embedded Derivative</w:t>
            </w:r>
          </w:p>
        </w:tc>
        <w:tc>
          <w:tcPr>
            <w:tcW w:w="80" w:type="dxa"/>
            <w:vAlign w:val="bottom"/>
          </w:tcPr>
          <w:p>
            <w:pPr>
              <w:spacing w:after="0"/>
              <w:rPr>
                <w:sz w:val="12"/>
                <w:szCs w:val="12"/>
                <w:color w:val="auto"/>
              </w:rPr>
            </w:pPr>
          </w:p>
        </w:tc>
        <w:tc>
          <w:tcPr>
            <w:tcW w:w="176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C Warrant Liability</w:t>
            </w:r>
          </w:p>
        </w:tc>
        <w:tc>
          <w:tcPr>
            <w:tcW w:w="120" w:type="dxa"/>
            <w:vAlign w:val="bottom"/>
            <w:vMerge w:val="restart"/>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vMerge w:val="restart"/>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8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76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9"/>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fair value</w:t>
            </w:r>
          </w:p>
        </w:tc>
        <w:tc>
          <w:tcPr>
            <w:tcW w:w="1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8"/>
        </w:trPr>
        <w:tc>
          <w:tcPr>
            <w:tcW w:w="5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Valuation of Embedded Derivative Liability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fair value of the embedded derivative liability recognized in connection with the Company’s Hercules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Agreement, which is associated with additional fees due to Hercules upon non-credit related events of default, was determined based on significant inputs not observable in the market, which represents a Level 3 measurement within the fair value hierarchy. The fair value of this embedded derivative liability, which is reported within other non-current liabilities on the condensed consolidated balance sheets, is estimated by the Company at each reporting date based, in part, on the results of third-party valuations, which were prepared based on a discounted cash flow model that considered the timing and probability of occurrence of a redemption upon an event of default, the potential amount of prepayment fees or contingent interest upon an event of default and the Company’s risk-adjusted discount rate of 17%. As of March 31, 2026 and December 31, 2025, the fair value of this derivative liability was $10 thousand.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Class C Warrant Liability— </w:t>
      </w:r>
      <w:r>
        <w:rPr>
          <w:rFonts w:ascii="Times New Roman" w:cs="Times New Roman" w:eastAsia="Times New Roman" w:hAnsi="Times New Roman"/>
          <w:sz w:val="18"/>
          <w:szCs w:val="18"/>
          <w:color w:val="auto"/>
        </w:rPr>
        <w:t>In December 2022, the Company issued Class C Warrants for the purchase of shares of its common stock in a public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Class C Warrants are accounted for as a liability on the condensed consolidated balance sheet and are adjusted to fair value at period end through “change in fair value of warrant liability” on the condensed consolidated statements of operations and comprehensive (loss)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calculated the fair value of the Class C Warrants using the Black-Scholes option pricing model, with the following inputs: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Borders>
              <w:bottom w:val="single" w:sz="8" w:color="CCEEFF"/>
            </w:tcBorders>
          </w:tcPr>
          <w:p>
            <w:pPr>
              <w:spacing w:after="0"/>
              <w:rPr>
                <w:sz w:val="18"/>
                <w:szCs w:val="18"/>
                <w:color w:val="auto"/>
              </w:rPr>
            </w:pPr>
          </w:p>
        </w:tc>
        <w:tc>
          <w:tcPr>
            <w:tcW w:w="168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4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34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price</w:t>
            </w:r>
          </w:p>
        </w:tc>
        <w:tc>
          <w:tcPr>
            <w:tcW w:w="16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138.1 %</w:t>
            </w:r>
          </w:p>
        </w:tc>
        <w:tc>
          <w:tcPr>
            <w:tcW w:w="14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136.0 %</w:t>
            </w:r>
          </w:p>
        </w:tc>
      </w:tr>
      <w:tr>
        <w:trPr>
          <w:trHeight w:val="229"/>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 Per Share</w:t>
      </w:r>
    </w:p>
    <w:p>
      <w:pPr>
        <w:spacing w:after="0" w:line="6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Basic net (loss) income per common share is calculated based on net (loss) income divided by the weighted average number of shares outstanding for the period. The calculation of diluted loss per common share excludes the impact of potential common stock as their inclusion would be to reduce net loss per common share and are thus antidilutive. The calculation of diluted income per share includes the impact of dilutive securities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(loss) income per share was calculated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4"/>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outstanding—basic</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126,288,723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6,840,035</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of dilutive securities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Time-based restricted stock units</w:t>
            </w: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0" w:type="dxa"/>
            <w:vAlign w:val="bottom"/>
          </w:tcPr>
          <w:p>
            <w:pPr>
              <w:spacing w:after="0"/>
              <w:rPr>
                <w:sz w:val="1"/>
                <w:szCs w:val="1"/>
                <w:color w:val="auto"/>
              </w:rPr>
            </w:pPr>
          </w:p>
        </w:tc>
      </w:tr>
      <w:tr>
        <w:trPr>
          <w:trHeight w:val="230"/>
        </w:trPr>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14,721</w:t>
            </w:r>
          </w:p>
        </w:tc>
        <w:tc>
          <w:tcPr>
            <w:tcW w:w="0" w:type="dxa"/>
            <w:vAlign w:val="bottom"/>
          </w:tcPr>
          <w:p>
            <w:pPr>
              <w:spacing w:after="0"/>
              <w:rPr>
                <w:sz w:val="1"/>
                <w:szCs w:val="1"/>
                <w:color w:val="auto"/>
              </w:rPr>
            </w:pPr>
          </w:p>
        </w:tc>
      </w:tr>
      <w:tr>
        <w:trPr>
          <w:trHeight w:val="223"/>
        </w:trPr>
        <w:tc>
          <w:tcPr>
            <w:tcW w:w="7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29,049</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outstanding-—diluted</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126,288,723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6,869,084</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 diluted</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Basic and diluted weighted average shares of common stock outstanding for the three months ended March 31, 2026 and 2025 includes the weighted average effect of pre-funded warrants for the purchase of shares of common stock, for which the remaining unfunded exercise price is less than or equal to $0.03 per share.</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2026, during which the Company recorded net loss, the Company’s potentially dilutive securities included outstanding stock options, unvested restricted stock units and warrants to purchase shares of common stock. These potentially dilutive securities have been excluded from the computation of diluted net loss per share as the effect would be to reduce the net loss per share, and thus they are considered “anti-dilutive.” Therefore, the weighted average number of common shares outstanding used to calculate both basic and diluted net loss per share is the same for this period.</w:t>
      </w:r>
    </w:p>
    <w:p>
      <w:pPr>
        <w:spacing w:after="0" w:line="21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For the three month period ended March 31, 2025, during which the Company recorded net income, the dilutive effect of outstanding stock options, restricted stock units, employee stock purchase plan shares and warrants were calculated using the treasury stock method, whereby all such awards were assumed to be exercised at the beginning of the period. The hypothetical proceeds from such exercises, including the average unrecognized stock compensation expense for outstanding stock options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restricted stock units, were assumed to be used to purchase outstanding common stock at the average price during the period. The net share impact of dilutive securities was added to the weighted average basic common shares outstanding to calculate weighted average diluted shares outstanding.</w:t>
      </w:r>
    </w:p>
    <w:p>
      <w:pPr>
        <w:spacing w:after="0" w:line="1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shares of common stock from the computation of diluted net (loss) income per share for the periods indicated because including them would have had an anti-dilutive effect: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80" w:type="dxa"/>
            <w:vAlign w:val="bottom"/>
          </w:tcPr>
          <w:p>
            <w:pPr>
              <w:spacing w:after="0"/>
              <w:rPr>
                <w:sz w:val="18"/>
                <w:szCs w:val="18"/>
                <w:color w:val="auto"/>
              </w:rPr>
            </w:pPr>
          </w:p>
        </w:tc>
        <w:tc>
          <w:tcPr>
            <w:tcW w:w="3760" w:type="dxa"/>
            <w:vAlign w:val="bottom"/>
            <w:tcBorders>
              <w:top w:val="single" w:sz="8" w:color="auto"/>
              <w:bottom w:val="single" w:sz="8" w:color="auto"/>
            </w:tcBorders>
            <w:gridSpan w:val="3"/>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0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shares of common stock</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15,856</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176"/>
        </w:trPr>
        <w:tc>
          <w:tcPr>
            <w:tcW w:w="7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Warrants to purchase shares of common stock (excluding prefunded warrants, which are included in</w:t>
            </w:r>
          </w:p>
        </w:tc>
        <w:tc>
          <w:tcPr>
            <w:tcW w:w="1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shares outstanding)</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00" w:type="dxa"/>
            <w:vAlign w:val="bottom"/>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r>
      <w:tr>
        <w:trPr>
          <w:trHeight w:val="223"/>
        </w:trPr>
        <w:tc>
          <w:tcPr>
            <w:tcW w:w="748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18,456</w:t>
            </w:r>
          </w:p>
        </w:tc>
        <w:tc>
          <w:tcPr>
            <w:tcW w:w="200" w:type="dxa"/>
            <w:vAlign w:val="bottom"/>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r>
      <w:tr>
        <w:trPr>
          <w:trHeight w:val="20"/>
        </w:trPr>
        <w:tc>
          <w:tcPr>
            <w:tcW w:w="7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63"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Disaggregation of Income Statement Expenses (Topic 220)</w:t>
      </w:r>
      <w:r>
        <w:rPr>
          <w:rFonts w:ascii="Times New Roman" w:cs="Times New Roman" w:eastAsia="Times New Roman" w:hAnsi="Times New Roman"/>
          <w:sz w:val="18"/>
          <w:szCs w:val="18"/>
          <w:color w:val="auto"/>
        </w:rPr>
        <w:t xml:space="preserve"> (“ASU 2024-03”) requiring that public business entities disclose additional information about specific expense categories in the notes to financial statements at interim and annual reporting periods. The amendments in ASU 2024-03 are effective for annual reporting periods beginning after December 15, 2026, and interim reporting periods beginning after December 15, 2027. The requirements in ASU 2024-03 may be applied either prospectively to financial statements issued for reporting periods after the effective date or retrospectively to any or all prior periods presented in the financial statements. The Company continues to evaluate the impact of the future adoption of ASU 2024-03 to its consolidated financial statements.</w:t>
      </w:r>
    </w:p>
    <w:p>
      <w:pPr>
        <w:spacing w:after="0" w:line="200" w:lineRule="exact"/>
        <w:rPr>
          <w:sz w:val="20"/>
          <w:szCs w:val="20"/>
          <w:color w:val="auto"/>
        </w:rPr>
      </w:pPr>
    </w:p>
    <w:p>
      <w:pPr>
        <w:spacing w:after="0" w:line="358"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Restructuring Liability</w:t>
      </w:r>
    </w:p>
    <w:p>
      <w:pPr>
        <w:spacing w:after="0" w:line="243" w:lineRule="exact"/>
        <w:rPr>
          <w:sz w:val="20"/>
          <w:szCs w:val="20"/>
          <w:color w:val="auto"/>
        </w:rPr>
      </w:pPr>
    </w:p>
    <w:p>
      <w:pPr>
        <w:ind w:right="140"/>
        <w:spacing w:after="0" w:line="214" w:lineRule="exact"/>
        <w:rPr>
          <w:sz w:val="20"/>
          <w:szCs w:val="20"/>
          <w:color w:val="auto"/>
        </w:rPr>
      </w:pPr>
      <w:r>
        <w:rPr>
          <w:rFonts w:ascii="Times New Roman" w:cs="Times New Roman" w:eastAsia="Times New Roman" w:hAnsi="Times New Roman"/>
          <w:sz w:val="18"/>
          <w:szCs w:val="18"/>
          <w:color w:val="auto"/>
        </w:rPr>
        <w:t>In 2025, the Company implemented two strategic restructuring actions designed to sharpen operational focus and align resources with the Company’s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strategy to successfully complete the 4WARD trial in patients with moderate and severe CN. These strategic restructuring actions resulted in an approximately 65% reduction in employee headcount.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liability recognized in connection with severance benefits incurred under strategic restructuring initiatives: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9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2026</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30"/>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Severance and other employee-related expenses (included in general and administrative expense)</w:t>
            </w:r>
          </w:p>
        </w:tc>
        <w:tc>
          <w:tcPr>
            <w:tcW w:w="9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payments</w:t>
            </w:r>
          </w:p>
        </w:tc>
        <w:tc>
          <w:tcPr>
            <w:tcW w:w="9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 (included in accrued expenses)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0"/>
        </w:trPr>
        <w:tc>
          <w:tcPr>
            <w:tcW w:w="9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recorded net revenue $2.5 million for the sale of the Company’s drug product in the U.S. Net product revenue was $0.9 million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balances and activity in each of the product reserve accounts for the three months ended March 31, 2026.</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center"/>
              <w:ind w:right="115"/>
              <w:spacing w:after="0" w:line="151"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100" w:type="dxa"/>
            <w:vAlign w:val="bottom"/>
          </w:tcPr>
          <w:p>
            <w:pPr>
              <w:spacing w:after="0"/>
              <w:rPr>
                <w:sz w:val="13"/>
                <w:szCs w:val="13"/>
                <w:color w:val="auto"/>
              </w:rPr>
            </w:pPr>
          </w:p>
        </w:tc>
        <w:tc>
          <w:tcPr>
            <w:tcW w:w="132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Co-Pay Assistance</w:t>
            </w:r>
          </w:p>
        </w:tc>
        <w:tc>
          <w:tcPr>
            <w:tcW w:w="10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100" w:type="dxa"/>
            <w:vAlign w:val="bottom"/>
            <w:vMerge w:val="restart"/>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13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175"/>
        </w:trPr>
        <w:tc>
          <w:tcPr>
            <w:tcW w:w="5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Provision related to revenue associated with sales processed in the three</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month period ended March 31, 2026</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175"/>
        </w:trPr>
        <w:tc>
          <w:tcPr>
            <w:tcW w:w="5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related to revenue associated with sales processed in prior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periods</w:t>
            </w: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 and payments made during the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8"/>
        </w:trPr>
        <w:tc>
          <w:tcPr>
            <w:tcW w:w="5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provision for contractual discounts provided to the Company’s customer is recorded as a reduction of accounts receivable. The provisions for co-pay assistance payments, contractual rebates and product returns are classified within accrued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accounts receivable for the three months ended March 31, 2026.</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29"/>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accounts receivable for drug product sales</w:t>
            </w:r>
          </w:p>
        </w:tc>
        <w:tc>
          <w:tcPr>
            <w:tcW w:w="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 accounts receivable for cash collections</w:t>
            </w:r>
          </w:p>
        </w:tc>
        <w:tc>
          <w:tcPr>
            <w:tcW w:w="2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23"/>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0"/>
        </w:trPr>
        <w:tc>
          <w:tcPr>
            <w:tcW w:w="9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and Other</w:t>
      </w:r>
    </w:p>
    <w:p>
      <w:pPr>
        <w:spacing w:after="0" w:line="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During the first quarter of 2025, the Company entered into a license and supply agreement (the “Norgine Agreement”) with Norgine Pharma UK Ltd. (“Norgine”). The Company analyzed the activities required under the Norgine Agreement and concluded that the arrangement was indicative of a vendor-customer relationship and would be accounted for under ASC 606. To date, the Company has received a one-time, non-refundable, up-front payment of €28.5 million and a regulatory milestone payment of €0.5 million, which are included the transaction price. All other future regulatory-based milestone payments, which represent variable consideration, have been fully constrained as these are not yet considered probable. The Company has also excluded from the transaction price future royalty payments that are based on units sold by Norgine and future cumulative revenue-based milestone payments under the applicable practical expedient.</w:t>
      </w:r>
    </w:p>
    <w:p>
      <w:pPr>
        <w:spacing w:after="0" w:line="21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Under the Norgine Agreement, the Company’s promises include a) the delivery of a license, b) research and development services for certain components of WHIM clinical studies, c) research and development services for the global Phase 3 trial of XOLREMDI for CN, and d) the option for delivery of commercial drug supply.</w:t>
      </w:r>
    </w:p>
    <w:p>
      <w:pPr>
        <w:spacing w:after="0" w:line="20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transaction price to the performance obligations under the Norgine Agreement based on the weighting of estimated stand-alone selling price for these performance obligations at the inception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148590</wp:posOffset>
            </wp:positionV>
            <wp:extent cx="33858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22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6"/>
          <w:szCs w:val="16"/>
          <w:b w:val="1"/>
          <w:bCs w:val="1"/>
          <w:color w:val="auto"/>
        </w:rPr>
        <w:t>Revenue Recognized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Allocation of Transaction</w:t>
            </w:r>
          </w:p>
        </w:tc>
        <w:tc>
          <w:tcPr>
            <w:tcW w:w="380" w:type="dxa"/>
            <w:vAlign w:val="bottom"/>
          </w:tcPr>
          <w:p>
            <w:pPr>
              <w:spacing w:after="0"/>
              <w:rPr>
                <w:sz w:val="16"/>
                <w:szCs w:val="16"/>
                <w:color w:val="auto"/>
              </w:rPr>
            </w:pPr>
          </w:p>
        </w:tc>
        <w:tc>
          <w:tcPr>
            <w:tcW w:w="31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Obligation:</w:t>
            </w:r>
          </w:p>
        </w:tc>
        <w:tc>
          <w:tcPr>
            <w:tcW w:w="1860" w:type="dxa"/>
            <w:vAlign w:val="bottom"/>
            <w:gridSpan w:val="3"/>
            <w:vMerge w:val="continue"/>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5900" w:type="dxa"/>
            <w:vAlign w:val="bottom"/>
            <w:vMerge w:val="continue"/>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vMerge w:val="restart"/>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vMerge w:val="restart"/>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9"/>
        </w:trPr>
        <w:tc>
          <w:tcPr>
            <w:tcW w:w="59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27,639</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services: WHIM</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services: CN</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Drug product supply</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27,865</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deferred revenue three months ended March 31, 2026.</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Deferred Revenue</w:t>
            </w:r>
          </w:p>
        </w:tc>
      </w:tr>
      <w:tr>
        <w:trPr>
          <w:trHeight w:val="229"/>
        </w:trPr>
        <w:tc>
          <w:tcPr>
            <w:tcW w:w="9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December 31, 2025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 in deferred revenue for revenue recognized</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deferred revenue related to the Norgine Agreement was $1.0 million, of which $0.9 million was current.</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540" w:type="dxa"/>
            <w:vAlign w:val="bottom"/>
            <w:tcBorders>
              <w:bottom w:val="single" w:sz="8" w:color="CCEEFF"/>
            </w:tcBorders>
            <w:vMerge w:val="continue"/>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00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29"/>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2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23"/>
        </w:trPr>
        <w:tc>
          <w:tcPr>
            <w:tcW w:w="6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bottom w:val="single" w:sz="8" w:color="auto"/>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360" w:type="dxa"/>
            <w:vAlign w:val="bottom"/>
          </w:tcPr>
          <w:p>
            <w:pPr>
              <w:spacing w:after="0"/>
              <w:rPr>
                <w:sz w:val="19"/>
                <w:szCs w:val="19"/>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65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r>
      <w:tr>
        <w:trPr>
          <w:trHeight w:val="248"/>
        </w:trPr>
        <w:tc>
          <w:tcPr>
            <w:tcW w:w="6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approximately $36 thousand and $289 thousand for the three months ended March 31, 2026 and 2025, respectively.</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Intangible Assets, Net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Company’s net definite-lived intangible assets, which is comprised of the capitalization of certain milestone payments made or accrued related to its license agreement for the intellectual property contained in its drug product, included a gross intangible asset of $10.5 million, less accumulated amortization of $1.4 million for a net intangible asset of $9.1 million. The Company amortizes the intangible asset to cost of revenue over the remaining life of the underlying patent protecting the intellectual property through 2038.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00" w:type="dxa"/>
            <w:vAlign w:val="bottom"/>
          </w:tcPr>
          <w:p>
            <w:pPr>
              <w:spacing w:after="0"/>
              <w:rPr>
                <w:sz w:val="20"/>
                <w:szCs w:val="20"/>
                <w:color w:val="auto"/>
              </w:rPr>
            </w:pPr>
            <w:r>
              <w:rPr>
                <w:rFonts w:ascii="Times New Roman" w:cs="Times New Roman" w:eastAsia="Times New Roman" w:hAnsi="Times New Roman"/>
                <w:sz w:val="18"/>
                <w:szCs w:val="18"/>
                <w:color w:val="auto"/>
              </w:rPr>
              <w:t>As of March 31, 2026, amortization expense for the next five years and beyond is summarized as follows (in thousands):</w:t>
            </w:r>
          </w:p>
        </w:tc>
        <w:tc>
          <w:tcPr>
            <w:tcW w:w="1540" w:type="dxa"/>
            <w:vAlign w:val="bottom"/>
          </w:tcPr>
          <w:p>
            <w:pPr>
              <w:spacing w:after="0"/>
              <w:rPr>
                <w:sz w:val="20"/>
                <w:szCs w:val="20"/>
                <w:color w:val="auto"/>
              </w:rPr>
            </w:pPr>
          </w:p>
        </w:tc>
      </w:tr>
      <w:tr>
        <w:trPr>
          <w:trHeight w:val="445"/>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5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Amortization</w:t>
            </w:r>
          </w:p>
        </w:tc>
      </w:tr>
      <w:tr>
        <w:trPr>
          <w:trHeight w:val="236"/>
        </w:trPr>
        <w:tc>
          <w:tcPr>
            <w:tcW w:w="9300" w:type="dxa"/>
            <w:vAlign w:val="bottom"/>
          </w:tcPr>
          <w:p>
            <w:pPr>
              <w:spacing w:after="0"/>
              <w:rPr>
                <w:sz w:val="20"/>
                <w:szCs w:val="20"/>
                <w:color w:val="auto"/>
              </w:rPr>
            </w:pPr>
          </w:p>
        </w:tc>
        <w:tc>
          <w:tcPr>
            <w:tcW w:w="15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expense</w:t>
            </w:r>
          </w:p>
        </w:tc>
      </w:tr>
      <w:tr>
        <w:trPr>
          <w:trHeight w:val="24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(remainder of year)</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5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56"/>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52"/>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61"/>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began amortizing its finite-lived intangible assets in April 2024 over a 14-year period based on the expected patent exclusivity period for XOLREMDI. Amortization expense totaled $0.2 million for the three months ended March 31, 2026 and $0.2 million for the comparable prior year period. Amortization expense is recorded as a component of cost of revenue on the condensed consolidated statements of operations and comprehensive (loss) income.</w:t>
      </w:r>
    </w:p>
    <w:p>
      <w:pPr>
        <w:spacing w:after="0" w:line="200" w:lineRule="exact"/>
        <w:rPr>
          <w:sz w:val="20"/>
          <w:szCs w:val="20"/>
          <w:color w:val="auto"/>
        </w:rPr>
      </w:pPr>
    </w:p>
    <w:p>
      <w:pPr>
        <w:spacing w:after="0" w:line="21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c>
          <w:tcPr>
            <w:tcW w:w="15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6580" w:type="dxa"/>
            <w:vAlign w:val="bottom"/>
            <w:vMerge w:val="continue"/>
          </w:tcPr>
          <w:p>
            <w:pPr>
              <w:spacing w:after="0"/>
              <w:rPr>
                <w:sz w:val="17"/>
                <w:szCs w:val="17"/>
                <w:color w:val="auto"/>
              </w:rPr>
            </w:pPr>
          </w:p>
        </w:tc>
        <w:tc>
          <w:tcPr>
            <w:tcW w:w="15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external research and development expenses</w:t>
            </w: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royalty and milestone payments</w:t>
            </w:r>
          </w:p>
        </w:tc>
        <w:tc>
          <w:tcPr>
            <w:tcW w:w="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18,603</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Long-Term Debt</w:t>
            </w:r>
          </w:p>
        </w:tc>
        <w:tc>
          <w:tcPr>
            <w:tcW w:w="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5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tcPr>
          <w:p>
            <w:pPr>
              <w:jc w:val="right"/>
              <w:ind w:right="59"/>
              <w:spacing w:after="0" w:line="13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tcPr>
          <w:p>
            <w:pPr>
              <w:jc w:val="right"/>
              <w:ind w:right="575"/>
              <w:spacing w:after="0" w:line="13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 of long-term debt</w:t>
            </w:r>
          </w:p>
        </w:tc>
        <w:tc>
          <w:tcPr>
            <w:tcW w:w="1560" w:type="dxa"/>
            <w:vAlign w:val="bottom"/>
            <w:gridSpan w:val="2"/>
            <w:shd w:val="clear" w:color="auto" w:fill="CCEEFF"/>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accrual of end of term payments</w:t>
            </w:r>
          </w:p>
        </w:tc>
        <w:tc>
          <w:tcPr>
            <w:tcW w:w="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560" w:type="dxa"/>
            <w:vAlign w:val="bottom"/>
            <w:tcBorders>
              <w:bottom w:val="single" w:sz="8" w:color="auto"/>
            </w:tcBorders>
            <w:gridSpan w:val="2"/>
          </w:tcPr>
          <w:p>
            <w:pPr>
              <w:jc w:val="right"/>
              <w:ind w:right="13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76,520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Hercules Loan Agreement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is party to the Second Amended and Restated Loan and Security Agreement, as amended, (the “Hercules Loan Agreement”) with Hercules Capital Inc., which provides for an aggregate term loan facility of up to $107.5 million, under which the Company has borrowed an aggregate of $75.0 million of term loans, representing the maximum borrowings allowable as of March 31, 2026. The Hercules Loan Agreement is described in Note 11 to the consolidated financial statements contained in the Company’s Annual Report on Form 10-K filed with the SEC on March 17,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interest expense under the Hercules Loan Agreement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top w:val="single" w:sz="8" w:color="auto"/>
              <w:bottom w:val="single" w:sz="8" w:color="auto"/>
            </w:tcBorders>
          </w:tcPr>
          <w:p>
            <w:pPr>
              <w:spacing w:after="0"/>
              <w:rPr>
                <w:sz w:val="18"/>
                <w:szCs w:val="18"/>
                <w:color w:val="auto"/>
              </w:rPr>
            </w:pPr>
          </w:p>
        </w:tc>
      </w:tr>
      <w:tr>
        <w:trPr>
          <w:trHeight w:val="196"/>
        </w:trPr>
        <w:tc>
          <w:tcPr>
            <w:tcW w:w="80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bl>
    <w:p>
      <w:pPr>
        <w:spacing w:after="0" w:line="2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annual effective interest rate on the Hercules Loan Agreement as of March 31, 2026 was 11.2%. There were no principal payments due or paid under the Hercules Loan Agreement during the three months ended March 31, 2026 and 2025. As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future principal and accrued end-of-term payments of $76.9 million under the Hercules Loan Agreement are due on July 1, 2027.</w:t>
      </w:r>
    </w:p>
    <w:p>
      <w:pPr>
        <w:spacing w:after="0" w:line="22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a lease agreement for its facility in Boston, Massachusetts, which is the Company’s principal executive office. There are no restrictions or financial covenants associated with this lease agreement. The Company had an operating lease for approximately 1,200 square meters of laboratory and office space in Vienna, Austria that commenced in February 2021 for a term of seven years. Effective November 30, 2025, the Company terminated the lease in accordance with a lease amendment entered into with the landlord. Accordingly, the Company accelerated the amortization of the right-of-use asset to zero and adjusted the remaining lease obligation to zero as of December 31,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three months ended March 31, 2026 and 2025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operating lease cost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lease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487</w:t>
            </w:r>
          </w:p>
        </w:tc>
      </w:tr>
      <w:tr>
        <w:trPr>
          <w:trHeight w:val="20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348</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term—operating leases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r>
    </w:tbl>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lease liabilities due under lease agreements that have commenced as of March 31, 2026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480" w:type="dxa"/>
            <w:vAlign w:val="bottom"/>
          </w:tcPr>
          <w:p>
            <w:pPr>
              <w:spacing w:after="0"/>
              <w:rPr>
                <w:sz w:val="13"/>
                <w:szCs w:val="13"/>
                <w:color w:val="auto"/>
              </w:rPr>
            </w:pPr>
          </w:p>
        </w:tc>
        <w:tc>
          <w:tcPr>
            <w:tcW w:w="184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203"/>
        </w:trPr>
        <w:tc>
          <w:tcPr>
            <w:tcW w:w="8800" w:type="dxa"/>
            <w:vAlign w:val="bottom"/>
            <w:tcBorders>
              <w:bottom w:val="single" w:sz="8" w:color="CCEEFF"/>
            </w:tcBorders>
            <w:vMerge w:val="continue"/>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(remainder of the year)</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80" w:type="dxa"/>
            <w:vAlign w:val="bottom"/>
          </w:tcPr>
          <w:p>
            <w:pPr>
              <w:spacing w:after="0"/>
              <w:rPr>
                <w:sz w:val="19"/>
                <w:szCs w:val="19"/>
                <w:color w:val="auto"/>
              </w:rPr>
            </w:pPr>
          </w:p>
        </w:tc>
        <w:tc>
          <w:tcPr>
            <w:tcW w:w="18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4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9"/>
              </w:rPr>
              <w:t>(32)</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as of March 31, 2026</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contract research organizations (“CROs”) pursuant to which the Company and the CROs are conducting clinical trials. The Company may terminate these agreements by providing notice pursuant to the contractual provisions of such agreements and would incur early termination fees. The Company has agreements with contract manufacturing organizations (“CMOs”) for the production of mavorixafor for use in clinical trials and for the commercial supply of XOLREMDI. The Company’s agreement with the CMO who produces batches of drug substance for use in the Company’s clinical and commercial drug supply contains cancellation provisions that would require the Company to pay up to the full contract value upon cancellation. As of March 31, 2026, the Company has approximately $2.1 million of such commitments in place subject to cancellation provisions.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See Note 5 to the Company’s Annual Report on Form 10-K filed with the SEC on March 17, 2026 for a description of licensing agreements, which commit the Company to contingent milestone and royalty fees based on future operational events.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among other things,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 obligations. The Company is not currently aware of any indemnification claims and has not accrued any liabilities related to such obligations in its condensed consolidated financial statements as of March 31, 2026 or December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9"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any legal proceedings.</w:t>
      </w:r>
    </w:p>
    <w:p>
      <w:pPr>
        <w:spacing w:after="0" w:line="200" w:lineRule="exact"/>
        <w:rPr>
          <w:sz w:val="20"/>
          <w:szCs w:val="20"/>
          <w:color w:val="auto"/>
        </w:rPr>
      </w:pPr>
    </w:p>
    <w:p>
      <w:pPr>
        <w:spacing w:after="0" w:line="333"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Transactions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Sales Agreement</w:t>
      </w:r>
    </w:p>
    <w:p>
      <w:pPr>
        <w:spacing w:after="0" w:line="6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The Company was a party 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xml:space="preserve"> Sales Agreement (“ATM”), dated as of August 7, 2020, pursuant to which the Company offered and sold shares of its common stock through one or more investment banks. The Company sold $24.2 million of its common stock, net of offering costs, under the ATM. The Company terminated the ATM on March 30, 2026.</w:t>
      </w:r>
    </w:p>
    <w:p>
      <w:pPr>
        <w:spacing w:after="0" w:line="200" w:lineRule="exact"/>
        <w:rPr>
          <w:sz w:val="20"/>
          <w:szCs w:val="20"/>
          <w:color w:val="auto"/>
        </w:rPr>
      </w:pPr>
    </w:p>
    <w:p>
      <w:pPr>
        <w:spacing w:after="0" w:line="23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25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As of March 31, 2026, there is an aggregate of approximately 1.4 million shares of common stock available for issuance under the Company’s equity incentive plans, including 0.1 million shares of common stock remain available for issuance under the Amended and Restated 2017 Employee Stock Purchase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Valuation</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212725</wp:posOffset>
            </wp:positionV>
            <wp:extent cx="24345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1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0" w:type="dxa"/>
            <w:vAlign w:val="bottom"/>
            <w:tcBorders>
              <w:bottom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CFF0FC"/>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5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109.9 %</w:t>
            </w:r>
          </w:p>
        </w:tc>
        <w:tc>
          <w:tcPr>
            <w:tcW w:w="28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103.9 %</w:t>
            </w:r>
          </w:p>
        </w:tc>
      </w:tr>
      <w:tr>
        <w:trPr>
          <w:trHeight w:val="234"/>
        </w:trPr>
        <w:tc>
          <w:tcPr>
            <w:tcW w:w="8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39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March 31, 2026, total unrecognized compensation expense related to unvested stock options and restricted stock units was $19.8 million, which is expected to be recognized over a weighted average period of 2.9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2026:</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18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60" w:type="dxa"/>
            <w:vAlign w:val="bottom"/>
          </w:tcPr>
          <w:p>
            <w:pPr>
              <w:spacing w:after="0"/>
              <w:rPr>
                <w:sz w:val="12"/>
                <w:szCs w:val="12"/>
                <w:color w:val="auto"/>
              </w:rPr>
            </w:pPr>
          </w:p>
        </w:tc>
        <w:tc>
          <w:tcPr>
            <w:tcW w:w="1180" w:type="dxa"/>
            <w:vAlign w:val="bottom"/>
          </w:tcPr>
          <w:p>
            <w:pPr>
              <w:jc w:val="center"/>
              <w:ind w:right="175"/>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4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12,080,718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28,329</w:t>
            </w: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Forfeited and 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15,856,064</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30,395</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850,519</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March 31, 2026</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12,771,903</w:t>
            </w:r>
          </w:p>
        </w:tc>
        <w:tc>
          <w:tcPr>
            <w:tcW w:w="380" w:type="dxa"/>
            <w:vAlign w:val="bottom"/>
            <w:gridSpan w:val="2"/>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7"/>
                <w:szCs w:val="17"/>
                <w:color w:val="auto"/>
              </w:rPr>
            </w:pPr>
          </w:p>
        </w:tc>
        <w:tc>
          <w:tcPr>
            <w:tcW w:w="260" w:type="dxa"/>
            <w:vAlign w:val="bottom"/>
          </w:tcPr>
          <w:p>
            <w:pPr>
              <w:jc w:val="right"/>
              <w:ind w:right="53"/>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24,717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The aggregate intrinsic value of options is calculated as the difference between the exercise price of the stock options and the fair value of the Company’s common stock to the extent the stock option had a lower exercise price. There were no options exercised in 2025 and 2024. The weighted average grant-date fair value per share of stock options granted during the three months ended March 31, 2026 and 2025 was $3.36 and $14.10,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 for the three months ended March 31,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520" w:type="dxa"/>
            <w:vAlign w:val="bottom"/>
          </w:tcPr>
          <w:p>
            <w:pPr>
              <w:spacing w:after="0"/>
              <w:rPr>
                <w:sz w:val="13"/>
                <w:szCs w:val="13"/>
                <w:color w:val="auto"/>
              </w:rPr>
            </w:pPr>
          </w:p>
        </w:tc>
        <w:tc>
          <w:tcPr>
            <w:tcW w:w="1540" w:type="dxa"/>
            <w:vAlign w:val="bottom"/>
            <w:tcBorders>
              <w:top w:val="single" w:sz="8" w:color="auto"/>
            </w:tcBorders>
          </w:tcPr>
          <w:p>
            <w:pPr>
              <w:jc w:val="center"/>
              <w:ind w:left="648"/>
              <w:spacing w:after="0" w:line="15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Borders>
              <w:top w:val="single" w:sz="8" w:color="auto"/>
            </w:tcBorders>
            <w:gridSpan w:val="2"/>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Weighted-Average Grant Date Fair</w:t>
            </w:r>
          </w:p>
        </w:tc>
      </w:tr>
      <w:tr>
        <w:trPr>
          <w:trHeight w:val="195"/>
        </w:trPr>
        <w:tc>
          <w:tcPr>
            <w:tcW w:w="55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December 31, 2025</w:t>
            </w:r>
          </w:p>
        </w:tc>
        <w:tc>
          <w:tcPr>
            <w:tcW w:w="15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r>
      <w:tr>
        <w:trPr>
          <w:trHeight w:val="230"/>
        </w:trPr>
        <w:tc>
          <w:tcPr>
            <w:tcW w:w="7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30"/>
        </w:trPr>
        <w:tc>
          <w:tcPr>
            <w:tcW w:w="7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as of March 31, 2026</w:t>
            </w:r>
          </w:p>
        </w:tc>
        <w:tc>
          <w:tcPr>
            <w:tcW w:w="15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54,410</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0"/>
        </w:trPr>
        <w:tc>
          <w:tcPr>
            <w:tcW w:w="55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Outstanding restricted stock units include performance-based restricted stock units (“PRSUs”), which will vest based on the achievement of an operational milestone. The Company considers the achievement of the remaining operational milestone related to outstanding PRSUs to be probable. Stock-based compensation expense has been recognized for these awards using the accelerated attribution model based on the fair value of the awards as of the date of grant and management’s best estimate of the date the probable operational milestone will be achieved. The Company updates its estimates related to the probability and timing of achievement of the operational milestones each period until the award either vests or is forfeited.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and comprehensive (loss) income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Borders>
              <w:top w:val="single" w:sz="8" w:color="auto"/>
              <w:bottom w:val="single" w:sz="8" w:color="auto"/>
            </w:tcBorders>
          </w:tcPr>
          <w:p>
            <w:pPr>
              <w:spacing w:after="0"/>
              <w:rPr>
                <w:sz w:val="18"/>
                <w:szCs w:val="18"/>
                <w:color w:val="auto"/>
              </w:rPr>
            </w:pPr>
          </w:p>
        </w:tc>
      </w:tr>
      <w:tr>
        <w:trPr>
          <w:trHeight w:val="196"/>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8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2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8"/>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did not record a material U.S. federal, state or international provision or benefit for income taxes in its condensed consolidated statement of operations and comprehensive (loss) income for the three months ended March 31, 2026 and 2025. The Company continues to maintain a valuation allowance against all remaining net deferred tax assets. The Company believes that it is more likely than not that it will not realize a future tax benefit of these attributes as the Company expects to continue to generate operating losses. Ultimate realization of any deferred tax asset is dependent on the Company’s ability to generate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sufficient future taxable income in the appropriate tax jurisdiction before the expiration of carryforward periods, if any. The Company will continue to monitor the valuation allowance assessment throughout the year.</w:t>
      </w:r>
    </w:p>
    <w:p>
      <w:pPr>
        <w:spacing w:after="0" w:line="200" w:lineRule="exact"/>
        <w:rPr>
          <w:sz w:val="20"/>
          <w:szCs w:val="20"/>
          <w:color w:val="auto"/>
        </w:rPr>
      </w:pPr>
    </w:p>
    <w:p>
      <w:pPr>
        <w:spacing w:after="0" w:line="30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has defined its Chief Operating Decision Maker (“CODM”) as the Executive Chairman. The CODM manages the Company’s operations as a single operating segment, which comprises its single reportable segment, for the purposes of assessing performance and making operating decisions. The Company’s focus is on the research, development and commercialization of novel therapeutics for the treatment of rare diseases. The Company’s research, development and commercialization efforts are focused on its lead molecule, mavorixafor, which is being marketed in the U.S. under the trade name XOLREMDI. The CODM uses the Company’s condensed consolidated net (loss) income to monitor actual results as compared to forecast in assessing segment performance and allocation of resources.</w:t>
      </w:r>
    </w:p>
    <w:p>
      <w:pPr>
        <w:spacing w:after="0" w:line="21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derives its revenue from the sale of XOLREMDI in the U.S. and from licensed rights and product sales of mavorixafor for other non-U.S. territories. The Company recognized $2.5 million and $0.9 million of revenue from its U.S. customer and $0.2 million and $27.9 million of revenue from a customer in the United Kingdom for the three months ended March 31, 2026 and 2025,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profit for the segment is net (loss) income and consisted of the following for the three months ended March 31, 2026, and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5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3280" w:type="dxa"/>
            <w:vAlign w:val="bottom"/>
            <w:tcBorders>
              <w:top w:val="single" w:sz="8" w:color="auto"/>
              <w:bottom w:val="single" w:sz="8" w:color="auto"/>
            </w:tcBorders>
            <w:gridSpan w:val="4"/>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0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external customers</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28,807</w:t>
            </w:r>
          </w:p>
        </w:tc>
        <w:tc>
          <w:tcPr>
            <w:tcW w:w="0" w:type="dxa"/>
            <w:vAlign w:val="bottom"/>
          </w:tcPr>
          <w:p>
            <w:pPr>
              <w:spacing w:after="0"/>
              <w:rPr>
                <w:sz w:val="1"/>
                <w:szCs w:val="1"/>
                <w:color w:val="auto"/>
              </w:rPr>
            </w:pPr>
          </w:p>
        </w:tc>
      </w:tr>
      <w:tr>
        <w:trPr>
          <w:trHeight w:val="162"/>
        </w:trPr>
        <w:tc>
          <w:tcPr>
            <w:tcW w:w="75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Compensation expense, excluding stock-based compensation, stock appreciation rights compensation expense and</w:t>
            </w:r>
          </w:p>
        </w:tc>
        <w:tc>
          <w:tcPr>
            <w:tcW w:w="4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5,080</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11,570</w:t>
            </w:r>
          </w:p>
        </w:tc>
        <w:tc>
          <w:tcPr>
            <w:tcW w:w="0" w:type="dxa"/>
            <w:vAlign w:val="bottom"/>
          </w:tcPr>
          <w:p>
            <w:pPr>
              <w:spacing w:after="0"/>
              <w:rPr>
                <w:sz w:val="1"/>
                <w:szCs w:val="1"/>
                <w:color w:val="auto"/>
              </w:rPr>
            </w:pPr>
          </w:p>
        </w:tc>
      </w:tr>
      <w:tr>
        <w:trPr>
          <w:trHeight w:val="213"/>
        </w:trPr>
        <w:tc>
          <w:tcPr>
            <w:tcW w:w="7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severance expense</w:t>
            </w:r>
          </w:p>
        </w:tc>
        <w:tc>
          <w:tcPr>
            <w:tcW w:w="4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research and development program expenses (X4P-001, mavorixafor)</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segment items (a)</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0" w:type="dxa"/>
            <w:vAlign w:val="bottom"/>
          </w:tcPr>
          <w:p>
            <w:pPr>
              <w:spacing w:after="0"/>
              <w:rPr>
                <w:sz w:val="1"/>
                <w:szCs w:val="1"/>
                <w:color w:val="auto"/>
              </w:rPr>
            </w:pPr>
          </w:p>
        </w:tc>
      </w:tr>
      <w:tr>
        <w:trPr>
          <w:trHeight w:val="237"/>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income (measure of segment profit)</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(20,241)</w:t>
            </w:r>
          </w:p>
        </w:tc>
        <w:tc>
          <w:tcPr>
            <w:tcW w:w="1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left="260" w:right="180" w:hanging="252"/>
        <w:spacing w:after="0" w:line="263" w:lineRule="auto"/>
        <w:tabs>
          <w:tab w:leader="none" w:pos="237"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primarily include cost of revenue, non-compensation departmental costs within sales, general and administrative departments, certain unallocated external costs within research and development, stock-based compensation expense, stock appreciation rights compensation expense, severance expense, other income (expense), and provision for income taxes.</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CODM only receives and reviews information regarding segment assets at the consolidated level. Certain other entity-wide disclosures are included elsewhere in these condensed consolidated financials statements. As of March 31, 2026, the Company’s single operating segment had long-lived assets, including property and equipment and right-of-use assets, of $1.2 million, which were located in the U.S. As of December 31, 2025, the operating segment’s long-lived assets were $1.6 million, all of which were located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MAA Approval</w:t>
      </w:r>
    </w:p>
    <w:p>
      <w:pPr>
        <w:spacing w:after="0" w:line="3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In January 2025, the European Medicines Agency (“EMA”) validated the Company’s Marketing Authorisation Application (“MAA”) for processing. On April 29, 2026, the European Commission granted marketing authorization for XOLREMDI® (mavorixafor) capsules for the treatment of patients with WHIM syndrome in the European Union.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43"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in “Item 1. Financial Statements.” References in this report to “X4,” the “Company,” “we,” “our” and “us” are references to X4 Pharmaceuticals, Inc. and its subsidiaries.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We are a biopharmaceutical company developing and commercializing novel therapeutics for the treatment of rare hematology diseases. We continue to progress our global, pivotal Phase 3 clinical trial, (the “4WARD” trial) to evaluate the efficacy, safety, and tolerability of oral, once-daily mavorixafor (with or without stable doses of granulocyte colony-stimulating factor (“G-CSF”)) in people with congenital, acquired primary autoimmune, or idiopathic chronic neutropenia (“CN”) who are experiencing recurrent and/or serious infections. The 52-week trial is a randomized, double-blind, placebo-controlled, multicenter study aiming to enroll up to 176 patients, with full enrollment expected by the end of the third quarter of 2026. The U.S. Food and Drug Administration (“FDA”) has granted Fast Track designation to mavorixafor for the treatment of CN, which is defined as periods lasting more than three months persistently or intermittently where there are abnormally low levels of neutrophils circulating in the blood, and may be idiopathic (of unknown origin), cyclic (episodes typically occurring every three weeks), or congenital (of genetic causation). CN disorders are rare blood conditions similarly characterized by increased risks of infections and cancer due to abnormally low levels of neutrophils in the body. In all cases, the CXCL12/CXCR4 pathway is the key regulator of neutrophil release from the bone marrow.</w:t>
      </w:r>
    </w:p>
    <w:p>
      <w:pPr>
        <w:spacing w:after="0" w:line="2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one commercially approved product, XOLREMDI® (mavorixafor), which has received accelerated approval in the United States from the FDA for use as an oral, once-daily therapy in patients 12 years of age and older with WHIM (warts, hypogammaglobulinemia, infections, and myelokathexis) syndrome, to increase the number of circulating mature neutrophils and lymphocytes. WHIM syndrome is a rare combined primary immunodeficiency and CN disorder. We are committed to making XOLREMDI available to patients in need in the U.S. while maintaining our focus on our long-term strategy to successfully complete the 4WARD trial in patients with moderate and severe CN.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Update and Out-License Agreements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January 2025, the EMA validated for processing our Marketing Authorization Application seeking regulatory approval to commercialize mavorixafor for WHIM syndrome in the European Union. On April 29, 2026, the European Commission granted marketing authorization for XOLREMDI® (mavorixafor) capsules for the treatment of patients with WHIM syndrome in the European Union.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results of our operations for the three months ended March 31, 2026 and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3260" w:type="dxa"/>
            <w:vAlign w:val="bottom"/>
            <w:tcBorders>
              <w:top w:val="single" w:sz="8" w:color="auto"/>
              <w:bottom w:val="single" w:sz="8" w:color="auto"/>
            </w:tcBorders>
            <w:gridSpan w:val="6"/>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0" w:type="dxa"/>
            <w:vAlign w:val="bottom"/>
            <w:tcBorders>
              <w:top w:val="single" w:sz="8" w:color="auto"/>
              <w:bottom w:val="single" w:sz="8" w:color="auto"/>
            </w:tcBorders>
          </w:tcPr>
          <w:p>
            <w:pPr>
              <w:spacing w:after="0"/>
              <w:rPr>
                <w:sz w:val="18"/>
                <w:szCs w:val="18"/>
                <w:color w:val="auto"/>
              </w:rPr>
            </w:pPr>
          </w:p>
        </w:tc>
      </w:tr>
      <w:tr>
        <w:trPr>
          <w:trHeight w:val="196"/>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94"/>
        </w:trPr>
        <w:tc>
          <w:tcPr>
            <w:tcW w:w="6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6"/>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and operating expenses: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Cost of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13"/>
        </w:trPr>
        <w:tc>
          <w:tcPr>
            <w:tcW w:w="64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7"/>
        </w:trPr>
        <w:tc>
          <w:tcPr>
            <w:tcW w:w="64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219"/>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1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income, net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r>
      <w:tr>
        <w:trPr>
          <w:trHeight w:val="21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1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Revenue, Net</w:t>
      </w:r>
    </w:p>
    <w:p>
      <w:pPr>
        <w:spacing w:after="0" w:line="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Net product sales were $2.5 million and $0.9 million for the three months ended March 31, 2026 and 2025, respectively. Net product revenue growth over the prior year quarter was primarily due to an increase in the number of patients who have been prescribed the Company’s drug product. Gross-to-net adjustments were approximately 10% in the first quarter of 2026. Co-pay assistance payments and rebates to U.S. government payors have comprised the majority of our gross-to-net revenue adjustments.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License and Other</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2026, other revenue under our license and supply agreement (the “Norgine Agreement”) with Norgine Pharma UK Ltd. (“Norgine”) was comprised of $0.2 million for the provision of research and development services and delivery of drug product supply to Norgine. For the three months ended March 31, 2025, we recognized $27.6 million in license revenue in connection with the delivery of the license and $0.3 million for the provision of research and development services under the Norgine Agreement.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Cost and Expenses: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Cost of revenue primarily consists of amortization of an intangible asset related to accrued and paid milestone payments associated with our Genzyme license agreement, cost of manufacturing drug product sold, and sales-based or sublicense-based royalty payments due under our Genzyme license agreement. Cost of revenue decreased $4.1 million in the three months ended March 31, 2026, as compared to the same period in the prior year, primarily due to royalties in the prior year associated with sublicense income from our Norgine Agreement that did not reoccur in the current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candidates, including employee salaries and related expenses, clinical development expenses, internal and third-party costs of manufacturing our drug products for use in our clinical trials. Research and development expenses also include costs related to compliance with regulatory requirements.</w:t>
      </w:r>
    </w:p>
    <w:p>
      <w:pPr>
        <w:spacing w:after="0" w:line="213"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Following our strategic restructuring announced during the first quarter of 2025, substantially all of our research and development has been focused on our one product candidate, mavorixafor (X4P-001). The following table shows external costs incurred by product candidate (primarily external CRO costs) and unallocated research and development costs, primarily consisting of employee salaries and related expense for our research and development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146050</wp:posOffset>
            </wp:positionV>
            <wp:extent cx="29914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520" w:type="dxa"/>
            <w:vAlign w:val="bottom"/>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52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3"/>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Direct research and development expenses by product candidate:</w:t>
            </w:r>
          </w:p>
        </w:tc>
        <w:tc>
          <w:tcPr>
            <w:tcW w:w="10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5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Mavorixafor (X4P-001)</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4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center"/>
              <w:ind w:left="781"/>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219"/>
        </w:trPr>
        <w:tc>
          <w:tcPr>
            <w:tcW w:w="65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Unallocated expense</w:t>
            </w:r>
          </w:p>
        </w:tc>
        <w:tc>
          <w:tcPr>
            <w:tcW w:w="10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7"/>
        </w:trPr>
        <w:tc>
          <w:tcPr>
            <w:tcW w:w="6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research and development expenses</w:t>
            </w: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center"/>
              <w:ind w:left="74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by $3.0 million in the three months ended March 31, 2026 as compared to the same period in the prior year. The decrease was primarily due to lower compensation and related benefit costs as a result of strategic restructuring actions implemented in 2025 partially offset by higher clinical costs as we continue to progress our 4WARD trial.</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31"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including stock-based compensation, for personnel in executive, finance, and administrative functions. General and administrative expenses also include direct and allocated facility-related costs as well as professional fees for legal, patent, consulting, investor and public relations, accounting, and audit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decreased by $8.1 million in the three months ended March 31, 2026 as compared to the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ind w:right="120"/>
        <w:spacing w:after="0" w:line="266" w:lineRule="auto"/>
        <w:rPr>
          <w:sz w:val="20"/>
          <w:szCs w:val="20"/>
          <w:color w:val="auto"/>
        </w:rPr>
      </w:pPr>
      <w:r>
        <w:rPr>
          <w:rFonts w:ascii="Times New Roman" w:cs="Times New Roman" w:eastAsia="Times New Roman" w:hAnsi="Times New Roman"/>
          <w:sz w:val="18"/>
          <w:szCs w:val="18"/>
          <w:color w:val="auto"/>
        </w:rPr>
        <w:t>same period in the prior year. The decrease was primarily due to a $4.0 million reduction in consulting fees, approximately $2.0 million in lower sales and marketing costs, $0.7 million of net reductions in compensation costs due to lower head count in general and administrative functions, and lower professional services costs in the current period as compared to the prior year.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0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460" w:type="dxa"/>
            <w:vAlign w:val="bottom"/>
            <w:tcBorders>
              <w:top w:val="single" w:sz="8" w:color="auto"/>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61"/>
        </w:trPr>
        <w:tc>
          <w:tcPr>
            <w:tcW w:w="660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fair value of Class C warrant liability</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7"/>
        </w:trPr>
        <w:tc>
          <w:tcPr>
            <w:tcW w:w="66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income, net</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Other income, net, decreased approximately $9.7 million in the three months ended March 31, 2026 as compared to the same period in the prior year primarily due to lower gains in the current period on fair value adjustments related to our Class C warrants, partially offset by higher interest income on our marketable security investment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6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To date, we have funded our operations primarily with proceeds from sales of common stock, warrants and prefunded warrants for the purchase of our preferred stock and our common stock, sales of preferred stock, proceeds from the issuance of convertible debt and borrowings under loan and security agreements.</w:t>
      </w:r>
    </w:p>
    <w:p>
      <w:pPr>
        <w:spacing w:after="0" w:line="3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Public and Private Equity Offerings. </w:t>
      </w:r>
      <w:r>
        <w:rPr>
          <w:rFonts w:ascii="Times New Roman" w:cs="Times New Roman" w:eastAsia="Times New Roman" w:hAnsi="Times New Roman"/>
          <w:sz w:val="18"/>
          <w:szCs w:val="18"/>
          <w:color w:val="auto"/>
        </w:rPr>
        <w:t>Over the past several years, we have funded our operations from sales of common stock, warrants and prefunded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warrants through both public offerings and private placements. For example, most recently in October 2025 we completed an underwritten public offering of approximately 52.8 million shares of our common stock and prefunded warrants to purchase up to 700,000 shares of our common stock for net proceeds of $145.6 million, after underwriting discounts and offering expenses.</w:t>
      </w:r>
    </w:p>
    <w:p>
      <w:pPr>
        <w:spacing w:after="0" w:line="205" w:lineRule="exact"/>
        <w:rPr>
          <w:sz w:val="20"/>
          <w:szCs w:val="20"/>
          <w:color w:val="auto"/>
        </w:rPr>
      </w:pPr>
    </w:p>
    <w:p>
      <w:pPr>
        <w:jc w:val="both"/>
        <w:ind w:right="280"/>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ATM Sales Agreement. </w:t>
      </w:r>
      <w:r>
        <w:rPr>
          <w:rFonts w:ascii="Times New Roman" w:cs="Times New Roman" w:eastAsia="Times New Roman" w:hAnsi="Times New Roman"/>
          <w:sz w:val="18"/>
          <w:szCs w:val="18"/>
          <w:color w:val="auto"/>
        </w:rPr>
        <w:t>We were a party to a Controlled Equity Offering</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Agreement (“ATM”), dated as of August 7, 2020, pursuant to which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periodically sold shares of our common stock through one or more investment banks. We have sold $24.2 million of our common stock, net of offering costs, under the ATM. We terminated the ATM effective March 30, 2026.</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Hercules Loan Agreement. </w:t>
      </w:r>
      <w:r>
        <w:rPr>
          <w:rFonts w:ascii="Times New Roman" w:cs="Times New Roman" w:eastAsia="Times New Roman" w:hAnsi="Times New Roman"/>
          <w:sz w:val="18"/>
          <w:szCs w:val="18"/>
          <w:color w:val="auto"/>
        </w:rPr>
        <w:t>We are a party to a loan and security agreement (the “Hercules Loan Agreement”), which provides for a term loan facility of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$107.5 million, under which we have borrowed an aggregate of $75.0 million of term loans to date, representing the maximum borrowings as of March 31, 2026. The term loan facility requires that we make interest-only payments through maturity on July 1, 2027 and requires that we meet certain operational and financial covenants. See Note 11 to our Annual Report on Form 10-K as filed with the SEC on March 17, 2026 for a full description of our Hercules Loan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each of the periods presented: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60" w:type="dxa"/>
            <w:vAlign w:val="bottom"/>
          </w:tcPr>
          <w:p>
            <w:pPr>
              <w:spacing w:after="0"/>
              <w:rPr>
                <w:sz w:val="19"/>
                <w:szCs w:val="19"/>
                <w:color w:val="auto"/>
              </w:rPr>
            </w:pPr>
          </w:p>
        </w:tc>
        <w:tc>
          <w:tcPr>
            <w:tcW w:w="3120" w:type="dxa"/>
            <w:vAlign w:val="bottom"/>
            <w:tcBorders>
              <w:top w:val="single" w:sz="8" w:color="auto"/>
              <w:bottom w:val="single" w:sz="8" w:color="auto"/>
            </w:tcBorders>
            <w:gridSpan w:val="4"/>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top w:val="single" w:sz="8" w:color="auto"/>
              <w:bottom w:val="single" w:sz="8" w:color="auto"/>
            </w:tcBorders>
          </w:tcPr>
          <w:p>
            <w:pPr>
              <w:spacing w:after="0"/>
              <w:rPr>
                <w:sz w:val="19"/>
                <w:szCs w:val="19"/>
                <w:color w:val="auto"/>
              </w:rPr>
            </w:pPr>
          </w:p>
        </w:tc>
      </w:tr>
      <w:tr>
        <w:trPr>
          <w:trHeight w:val="209"/>
        </w:trPr>
        <w:tc>
          <w:tcPr>
            <w:tcW w:w="7560" w:type="dxa"/>
            <w:vAlign w:val="bottom"/>
          </w:tcPr>
          <w:p>
            <w:pPr>
              <w:spacing w:after="0"/>
              <w:rPr>
                <w:sz w:val="18"/>
                <w:szCs w:val="18"/>
                <w:color w:val="auto"/>
              </w:rPr>
            </w:pPr>
          </w:p>
        </w:tc>
        <w:tc>
          <w:tcPr>
            <w:tcW w:w="11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Borders>
              <w:bottom w:val="single" w:sz="8" w:color="auto"/>
            </w:tcBorders>
          </w:tcPr>
          <w:p>
            <w:pPr>
              <w:spacing w:after="0"/>
              <w:rPr>
                <w:sz w:val="18"/>
                <w:szCs w:val="18"/>
                <w:color w:val="auto"/>
              </w:rPr>
            </w:pPr>
          </w:p>
        </w:tc>
      </w:tr>
      <w:tr>
        <w:trPr>
          <w:trHeight w:val="209"/>
        </w:trPr>
        <w:tc>
          <w:tcPr>
            <w:tcW w:w="7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80" w:type="dxa"/>
            <w:vAlign w:val="bottom"/>
            <w:gridSpan w:val="3"/>
          </w:tcPr>
          <w:p>
            <w:pPr>
              <w:jc w:val="right"/>
              <w:ind w:right="69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560" w:type="dxa"/>
            <w:vAlign w:val="bottom"/>
          </w:tcPr>
          <w:p>
            <w:pPr>
              <w:spacing w:after="0"/>
              <w:rPr>
                <w:sz w:val="18"/>
                <w:szCs w:val="18"/>
                <w:color w:val="auto"/>
              </w:rPr>
            </w:pPr>
          </w:p>
        </w:tc>
      </w:tr>
      <w:tr>
        <w:trPr>
          <w:trHeight w:val="231"/>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140" w:type="dxa"/>
            <w:vAlign w:val="bottom"/>
            <w:shd w:val="clear" w:color="auto" w:fill="CFF0FC"/>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75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shd w:val="clear" w:color="auto" w:fill="CFF0FC"/>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4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$19.6 million, primarily resulting from our net losses of $20.2 million. Net cash used in operating activities for the three months ended March 31, 2025 was $12.4 million, primarily resulting from operating expenses of approximately $38.2 million, approximately $2.5 million in severance and related payments, and $6.1 million for the payment of our annual bonuses, partially offset by license and net product sale receipts of $31.2 million and other changes in working capital.</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cash provided by investing activities of $19.3 million was primarily due to net sales of short-term marketable securities. During the three months ended March 31, 2025, cash used in investing activities of $3.1 million was due to net investment in short-term marketable securities.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cash flows from financing activities during the three months ended March 31, 2026 and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3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Based on our cash, cash equivalents and marketable securities on hand as of May 6, 2026 and our current operating plan, we believe that our cash, cash equivalents and marketable securities will allow us to fund operations for at least the next 12 months.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3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expect to continue to incur operating losses as we advance our lead drug candidate through the 4WARD trial. Until we reach profitability, we will need to raise additional capital, which cannot be assured, to fund our operations and meet our financial obligations beyond this period. Such additional capital could be raised through a combination of equity offerings, debt financings, other third-party funding, marketing and distribution arrangements, or other collaborations and strategic alliances. If we are unable to obtain funding, we could be forced to delay, reduce, or eliminate some or all of our research and development programs, product portfolio expansion or commercialization efforts, which would adversely affect our business prospects, or we may be unable to continue operations and may need to restructure our obligations in a court-supervised process or otherwise.</w:t>
      </w:r>
    </w:p>
    <w:p>
      <w:pPr>
        <w:spacing w:after="0" w:line="21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the future sale of our approved drug product and the research, development, and commercialization of future product candidates, we are unable to estimate the exact amount of our funding requirements. Our short-term and long-term funding requirements will depend on and could increase significantly as a result of many factors, including:</w:t>
      </w:r>
    </w:p>
    <w:p>
      <w:pPr>
        <w:spacing w:after="0" w:line="203" w:lineRule="exact"/>
        <w:rPr>
          <w:sz w:val="20"/>
          <w:szCs w:val="20"/>
          <w:color w:val="auto"/>
        </w:rPr>
      </w:pPr>
    </w:p>
    <w:p>
      <w:pPr>
        <w:ind w:left="660" w:right="60" w:hanging="328"/>
        <w:spacing w:after="0" w:line="266" w:lineRule="auto"/>
        <w:tabs>
          <w:tab w:leader="none" w:pos="6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number, initiation, progress, timing, costs, design, duration, any potential delays, and results of clinical trials and nonclinical studies for our current or future product candidates, particularly our Phase 3 clinical trial of mavorixafor for the treatment of individuals with chronic neutropenic disorders;</w:t>
      </w:r>
    </w:p>
    <w:p>
      <w:pPr>
        <w:spacing w:after="0" w:line="13" w:lineRule="exact"/>
        <w:rPr>
          <w:rFonts w:ascii="Times New Roman" w:cs="Times New Roman" w:eastAsia="Times New Roman" w:hAnsi="Times New Roman"/>
          <w:sz w:val="18"/>
          <w:szCs w:val="18"/>
          <w:color w:val="auto"/>
        </w:rPr>
      </w:pPr>
    </w:p>
    <w:p>
      <w:pPr>
        <w:ind w:left="660" w:right="580" w:hanging="409"/>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reviews, approvals or other actions to meet regulatory requirements established by the FDA and comparable foreign regulatory authorities, including the potential for the FDA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comparable foreign regulatory authorities to require that we perform more studies for our product candidates than those that we currently expect;</w:t>
      </w:r>
    </w:p>
    <w:p>
      <w:pPr>
        <w:spacing w:after="0" w:line="63" w:lineRule="exact"/>
        <w:rPr>
          <w:sz w:val="20"/>
          <w:szCs w:val="20"/>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w:t>
      </w:r>
    </w:p>
    <w:p>
      <w:pPr>
        <w:spacing w:after="0" w:line="63" w:lineRule="exact"/>
        <w:rPr>
          <w:rFonts w:ascii="Times New Roman" w:cs="Times New Roman" w:eastAsia="Times New Roman" w:hAnsi="Times New Roman"/>
          <w:sz w:val="18"/>
          <w:szCs w:val="18"/>
          <w:color w:val="auto"/>
        </w:rPr>
      </w:pPr>
    </w:p>
    <w:p>
      <w:pPr>
        <w:ind w:left="660" w:right="220" w:hanging="409"/>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 covering our product and product candidates, including any such patent claims and intellectual property rights that we have licensed from Genzyme pursuant to the terms of our license agreement with Genzyme;</w:t>
      </w:r>
    </w:p>
    <w:p>
      <w:pPr>
        <w:spacing w:after="0" w:line="13" w:lineRule="exact"/>
        <w:rPr>
          <w:rFonts w:ascii="Times New Roman" w:cs="Times New Roman" w:eastAsia="Times New Roman" w:hAnsi="Times New Roman"/>
          <w:sz w:val="18"/>
          <w:szCs w:val="18"/>
          <w:color w:val="auto"/>
        </w:rPr>
      </w:pPr>
    </w:p>
    <w:p>
      <w:pPr>
        <w:ind w:left="660" w:right="340" w:hanging="409"/>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cost of defending intellectual property disputes, including patent infringement actions brought by third parties against us or our product or product candidates;</w:t>
      </w:r>
    </w:p>
    <w:p>
      <w:pPr>
        <w:spacing w:after="0" w:line="1" w:lineRule="exact"/>
        <w:rPr>
          <w:rFonts w:ascii="Times New Roman" w:cs="Times New Roman" w:eastAsia="Times New Roman" w:hAnsi="Times New Roman"/>
          <w:sz w:val="18"/>
          <w:szCs w:val="18"/>
          <w:color w:val="auto"/>
        </w:rPr>
      </w:pPr>
    </w:p>
    <w:p>
      <w:pPr>
        <w:ind w:left="660" w:right="120" w:hanging="409"/>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licensing, collaboration or similar arrangements on favorable terms and whether and to what extent we retain development or commercialization responsibilities under any new licensing, collaboration or similar arrangement;</w:t>
      </w:r>
    </w:p>
    <w:p>
      <w:pPr>
        <w:spacing w:after="0" w:line="1"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any other business, product or technology that we acquire or in which we invest;</w:t>
      </w:r>
    </w:p>
    <w:p>
      <w:pPr>
        <w:spacing w:after="0" w:line="63"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63"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63"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continue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generally accepted accounting principles in the United States.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2026, there were no material changes to our critical accounting policies as reported for the year ended December 31, 2025 as part of our Annual Report on Form 10-K. See Note 1 to the unaudited interim condensed consolidated financial statements included in this Quarterly Report on Form 10-Q under the heading </w:t>
      </w:r>
      <w:r>
        <w:rPr>
          <w:rFonts w:ascii="Times New Roman" w:cs="Times New Roman" w:eastAsia="Times New Roman" w:hAnsi="Times New Roman"/>
          <w:sz w:val="18"/>
          <w:szCs w:val="18"/>
          <w:i w:val="1"/>
          <w:iCs w:val="1"/>
          <w:color w:val="auto"/>
        </w:rPr>
        <w:t>Recently Issued Accounting Standards Not Yet Adopted</w:t>
      </w:r>
      <w:r>
        <w:rPr>
          <w:rFonts w:ascii="Times New Roman" w:cs="Times New Roman" w:eastAsia="Times New Roman" w:hAnsi="Times New Roman"/>
          <w:sz w:val="18"/>
          <w:szCs w:val="18"/>
          <w:color w:val="auto"/>
        </w:rPr>
        <w:t xml:space="preserve"> for new accounting pronouncements or changes to the accounting pronouncements during the three months ended March 31,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(“SRC”) as defined by Rule 12b-2 of the Exchange Act and Item 10(f)(1) of Regulation S-K. We may take advantage of certain of the scaled disclosures available to smaller reporting companies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8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SRC, we are not required to provide the information requested by this Item.</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specified in the SEC’s rules and forms and accumulated and communicated to our management, including our principal executive officer and principal financial officer, to allow timely decisions regarding required disclosure.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defined in Exchange Act Rules 13a-15(e) and 15d-15(e)) as of March 31, 2026, and have concluded that, based on such evaluation, our disclosure controls and procedures were effective as of March 31, 2026 at the reasonable assurance level.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currently a party to any material legal proceedings and we are not aware of any pending or threatened legal proceedings against us that we believe could have a material adverse effect on our business, operating results or financial condition.</w:t>
      </w:r>
    </w:p>
    <w:p>
      <w:pPr>
        <w:spacing w:after="0" w:line="3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risks, including those described in Part I, Item 1A, “Risk Factors” of our Annual Report on Form 10-K for the year ended December 31, 2025. There have been no material changes from the risk factors disclosed in Item 1A of our Annual Report on Form 10-K for the year ended December 31, 2025.</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During the quarter ended March 31, 2026, no director or Section 16 officer adopted, modified or terminated any Rule 10b5-1 trading arrangements or non-Rule 10b5-1 trading arrangements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12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w w:val="99"/>
              </w:rPr>
              <w:t>Item 6.</w:t>
            </w:r>
          </w:p>
        </w:tc>
        <w:tc>
          <w:tcPr>
            <w:tcW w:w="20" w:type="dxa"/>
            <w:vAlign w:val="bottom"/>
          </w:tcPr>
          <w:p>
            <w:pPr>
              <w:spacing w:after="0"/>
              <w:rPr>
                <w:sz w:val="20"/>
                <w:szCs w:val="20"/>
                <w:color w:val="auto"/>
              </w:rPr>
            </w:pPr>
          </w:p>
        </w:tc>
        <w:tc>
          <w:tcPr>
            <w:tcW w:w="4820" w:type="dxa"/>
            <w:vAlign w:val="bottom"/>
            <w:gridSpan w:val="15"/>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gridSpan w:val="1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20" w:type="dxa"/>
            <w:vAlign w:val="bottom"/>
            <w:gridSpan w:val="1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vMerge w:val="restart"/>
          </w:tcPr>
          <w:p>
            <w:pPr>
              <w:spacing w:after="0"/>
              <w:rPr>
                <w:sz w:val="14"/>
                <w:szCs w:val="14"/>
                <w:color w:val="auto"/>
              </w:rPr>
            </w:pPr>
          </w:p>
        </w:tc>
        <w:tc>
          <w:tcPr>
            <w:tcW w:w="1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vMerge w:val="restart"/>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95"/>
        </w:trPr>
        <w:tc>
          <w:tcPr>
            <w:tcW w:w="11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20" w:type="dxa"/>
            <w:vAlign w:val="bottom"/>
            <w:gridSpan w:val="15"/>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Restated Certificate of Incorporation, as amended, as of</w:t>
              </w:r>
            </w:hyperlink>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19"/>
                <w:szCs w:val="19"/>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09/01/2022</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001-38295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September 1, 2022.</w:t>
              </w:r>
            </w:hyperlink>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5"/>
          </w:tcPr>
          <w:p>
            <w:pPr>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Certificate of Amendment to the Restated Certificate of</w:t>
              </w:r>
            </w:hyperlink>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04/24/2025</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001-38295</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Incorporation of X4 Pharmaceuticals, Inc.</w:t>
              </w:r>
            </w:hyperlink>
          </w:p>
        </w:tc>
        <w:tc>
          <w:tcPr>
            <w:tcW w:w="12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Amended and Restated By-laws of the Company</w:t>
              </w:r>
            </w:hyperlink>
          </w:p>
        </w:tc>
        <w:tc>
          <w:tcPr>
            <w:tcW w:w="1300" w:type="dxa"/>
            <w:vAlign w:val="bottom"/>
            <w:gridSpan w:val="8"/>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13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11/20/2017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001-38295</w:t>
            </w:r>
          </w:p>
        </w:tc>
        <w:tc>
          <w:tcPr>
            <w:tcW w:w="0" w:type="dxa"/>
            <w:vAlign w:val="bottom"/>
          </w:tcPr>
          <w:p>
            <w:pPr>
              <w:spacing w:after="0"/>
              <w:rPr>
                <w:sz w:val="1"/>
                <w:szCs w:val="1"/>
                <w:color w:val="auto"/>
              </w:rPr>
            </w:pPr>
          </w:p>
        </w:tc>
      </w:tr>
      <w:tr>
        <w:trPr>
          <w:trHeight w:val="250"/>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Form of Common Stock Certificate</w:t>
              </w:r>
            </w:hyperlink>
          </w:p>
        </w:tc>
        <w:tc>
          <w:tcPr>
            <w:tcW w:w="2260" w:type="dxa"/>
            <w:vAlign w:val="bottom"/>
            <w:gridSpan w:val="12"/>
          </w:tcPr>
          <w:p>
            <w:pPr>
              <w:spacing w:after="0"/>
              <w:rPr>
                <w:sz w:val="21"/>
                <w:szCs w:val="21"/>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1"/>
                <w:szCs w:val="21"/>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3/13/2019</w:t>
            </w:r>
          </w:p>
        </w:tc>
        <w:tc>
          <w:tcPr>
            <w:tcW w:w="10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001-38295</w:t>
            </w:r>
          </w:p>
        </w:tc>
        <w:tc>
          <w:tcPr>
            <w:tcW w:w="0" w:type="dxa"/>
            <w:vAlign w:val="bottom"/>
          </w:tcPr>
          <w:p>
            <w:pPr>
              <w:spacing w:after="0"/>
              <w:rPr>
                <w:sz w:val="1"/>
                <w:szCs w:val="1"/>
                <w:color w:val="auto"/>
              </w:rPr>
            </w:pPr>
          </w:p>
        </w:tc>
      </w:tr>
      <w:tr>
        <w:trPr>
          <w:trHeight w:val="318"/>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500" w:type="dxa"/>
            <w:vAlign w:val="bottom"/>
            <w:tcBorders>
              <w:top w:val="single" w:sz="8" w:color="0000FF"/>
            </w:tcBorders>
            <w:gridSpan w:val="3"/>
          </w:tcPr>
          <w:p>
            <w:pPr>
              <w:spacing w:after="0"/>
              <w:rPr>
                <w:sz w:val="13"/>
                <w:szCs w:val="13"/>
                <w:color w:val="auto"/>
              </w:rPr>
            </w:pPr>
          </w:p>
        </w:tc>
        <w:tc>
          <w:tcPr>
            <w:tcW w:w="14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Section 302 of the Sarbanes-Oxley Act of 2002.</w:t>
            </w:r>
          </w:p>
        </w:tc>
        <w:tc>
          <w:tcPr>
            <w:tcW w:w="460" w:type="dxa"/>
            <w:vAlign w:val="bottom"/>
            <w:tcBorders>
              <w:top w:val="single" w:sz="8" w:color="0000FF"/>
            </w:tcBorders>
            <w:gridSpan w:val="3"/>
          </w:tcPr>
          <w:p>
            <w:pPr>
              <w:spacing w:after="0"/>
              <w:rPr>
                <w:sz w:val="13"/>
                <w:szCs w:val="13"/>
                <w:color w:val="auto"/>
              </w:rPr>
            </w:pPr>
          </w:p>
        </w:tc>
        <w:tc>
          <w:tcPr>
            <w:tcW w:w="20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2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w w:val="99"/>
              </w:rPr>
              <w:t>Financial Officer pursuant to Section 906 of the Sarbanes</w:t>
            </w:r>
          </w:p>
        </w:tc>
        <w:tc>
          <w:tcPr>
            <w:tcW w:w="70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0000FF"/>
              </w:rPr>
              <w:t>-Oxley</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top w:val="single" w:sz="8" w:color="0000FF"/>
            </w:tcBorders>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92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5"/>
                <w:szCs w:val="15"/>
                <w:color w:val="auto"/>
              </w:rPr>
            </w:pPr>
          </w:p>
        </w:tc>
        <w:tc>
          <w:tcPr>
            <w:tcW w:w="4820" w:type="dxa"/>
            <w:vAlign w:val="bottom"/>
            <w:gridSpan w:val="15"/>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6"/>
                <w:szCs w:val="16"/>
                <w:color w:val="auto"/>
              </w:rPr>
            </w:pPr>
          </w:p>
        </w:tc>
        <w:tc>
          <w:tcPr>
            <w:tcW w:w="4820" w:type="dxa"/>
            <w:vAlign w:val="bottom"/>
            <w:gridSpan w:val="15"/>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0"/>
                <w:szCs w:val="20"/>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2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5"/>
                <w:szCs w:val="15"/>
                <w:color w:val="auto"/>
              </w:rPr>
            </w:pPr>
          </w:p>
        </w:tc>
        <w:tc>
          <w:tcPr>
            <w:tcW w:w="4820" w:type="dxa"/>
            <w:vAlign w:val="bottom"/>
            <w:gridSpan w:val="15"/>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240" w:right="5340" w:hanging="814"/>
        <w:spacing w:after="0" w:line="237" w:lineRule="auto"/>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Filed herewith</w:t>
      </w:r>
    </w:p>
    <w:p>
      <w:pPr>
        <w:spacing w:after="0" w:line="23" w:lineRule="exact"/>
        <w:rPr>
          <w:rFonts w:ascii="Times New Roman" w:cs="Times New Roman" w:eastAsia="Times New Roman" w:hAnsi="Times New Roman"/>
          <w:sz w:val="18"/>
          <w:szCs w:val="18"/>
          <w:color w:val="auto"/>
        </w:rPr>
      </w:pPr>
    </w:p>
    <w:p>
      <w:pPr>
        <w:ind w:right="220" w:firstLine="8"/>
        <w:spacing w:after="0" w:line="252" w:lineRule="auto"/>
        <w:tabs>
          <w:tab w:leader="none" w:pos="202"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 attached as Exhibit 32.1 accompanying this Quarterly Report on Form 10-Q is not deemed filed with the Securities and Exchange Commission and is not to be incorporated by reference into any filing of the Company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9" w:name="page30"/>
    <w:bookmarkEnd w:id="2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X4 PHARMACEUTICALS, INC.</w:t>
      </w:r>
    </w:p>
    <w:p>
      <w:pPr>
        <w:spacing w:after="0" w:line="31" w:lineRule="exact"/>
        <w:rPr>
          <w:sz w:val="20"/>
          <w:szCs w:val="20"/>
          <w:color w:val="auto"/>
        </w:rPr>
      </w:pPr>
    </w:p>
    <w:p>
      <w:pPr>
        <w:ind w:left="20"/>
        <w:spacing w:after="0"/>
        <w:tabs>
          <w:tab w:leader="none" w:pos="4260" w:val="left"/>
          <w:tab w:leader="none" w:pos="472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R.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14605</wp:posOffset>
            </wp:positionV>
            <wp:extent cx="41402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1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Adam R. Craig, M.D., Ph.D., M.B.A.</w:t>
      </w:r>
    </w:p>
    <w:p>
      <w:pPr>
        <w:spacing w:after="0" w:line="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 xml:space="preserve">Executive Chairman </w:t>
      </w: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4240" w:val="left"/>
          <w:tab w:leader="none" w:pos="4700" w:val="left"/>
        </w:tabs>
        <w:rPr>
          <w:sz w:val="20"/>
          <w:szCs w:val="20"/>
          <w:color w:val="auto"/>
        </w:rPr>
      </w:pPr>
      <w:r>
        <w:rPr>
          <w:rFonts w:ascii="Times New Roman" w:cs="Times New Roman" w:eastAsia="Times New Roman" w:hAnsi="Times New Roman"/>
          <w:sz w:val="18"/>
          <w:szCs w:val="18"/>
          <w:color w:val="auto"/>
        </w:rPr>
        <w:t>Date: May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Kirske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17145</wp:posOffset>
            </wp:positionV>
            <wp:extent cx="4088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David Kirske</w:t>
      </w:r>
    </w:p>
    <w:p>
      <w:pPr>
        <w:spacing w:after="0" w:line="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xml:space="preserve">Chief Financial Officer and Treasurer </w:t>
      </w: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887" w:right="3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R. Craig, M.D., Ph.D., M.B.A. certify that:</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X4 Pharmaceuticals,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Adam R.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Adam R. Craig, M.D., Ph.D., M.B.A.</w:t>
      </w:r>
    </w:p>
    <w:p>
      <w:pPr>
        <w:ind w:left="20"/>
        <w:spacing w:after="0" w:line="219" w:lineRule="auto"/>
        <w:rPr>
          <w:sz w:val="20"/>
          <w:szCs w:val="20"/>
          <w:color w:val="auto"/>
        </w:rPr>
      </w:pPr>
      <w:r>
        <w:rPr>
          <w:rFonts w:ascii="Times New Roman" w:cs="Times New Roman" w:eastAsia="Times New Roman" w:hAnsi="Times New Roman"/>
          <w:sz w:val="18"/>
          <w:szCs w:val="18"/>
          <w:color w:val="auto"/>
        </w:rPr>
        <w:t>Executive Chairman</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4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Kirske, certify that:</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X4 Pharmaceuticals,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David Kirske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Kirske</w:t>
      </w:r>
    </w:p>
    <w:p>
      <w:pPr>
        <w:ind w:left="2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46" w:right="339" w:bottom="1440" w:gutter="0" w:footer="0" w:header="0"/>
        </w:sectPr>
      </w:pPr>
    </w:p>
    <w:bookmarkStart w:id="32" w:name="page33"/>
    <w:bookmarkEnd w:id="32"/>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2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Dr. Adam Craig, Executive Chairman of X4 Pharmaceuticals, Inc. (the “Company”), and David Kirske, Chief Financial Officer of the Company, each hereby certifies that, to the best of his knowledge:</w:t>
      </w:r>
    </w:p>
    <w:p>
      <w:pPr>
        <w:spacing w:after="0" w:line="306" w:lineRule="exact"/>
        <w:rPr>
          <w:sz w:val="20"/>
          <w:szCs w:val="20"/>
          <w:color w:val="auto"/>
        </w:rPr>
      </w:pPr>
    </w:p>
    <w:p>
      <w:pPr>
        <w:ind w:left="660" w:hanging="652"/>
        <w:spacing w:after="0" w:line="237"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“Quarterly Report”), fully complies with the requirements of Section 13(a) or Section 15(d) of the Exchange Act; and</w:t>
      </w:r>
    </w:p>
    <w:p>
      <w:pPr>
        <w:spacing w:after="0" w:line="239" w:lineRule="exact"/>
        <w:rPr>
          <w:rFonts w:ascii="Times New Roman" w:cs="Times New Roman" w:eastAsia="Times New Roman" w:hAnsi="Times New Roman"/>
          <w:sz w:val="18"/>
          <w:szCs w:val="18"/>
          <w:b w:val="1"/>
          <w:bCs w:val="1"/>
          <w:color w:val="auto"/>
        </w:rPr>
      </w:pPr>
    </w:p>
    <w:p>
      <w:pPr>
        <w:ind w:left="660" w:right="20" w:hanging="652"/>
        <w:spacing w:after="0" w:line="250" w:lineRule="auto"/>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set their hands hereto as of the 6th day of May, 2026.</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R. Craig</w:t>
            </w:r>
          </w:p>
        </w:tc>
        <w:tc>
          <w:tcPr>
            <w:tcW w:w="180" w:type="dxa"/>
            <w:vAlign w:val="bottom"/>
          </w:tcPr>
          <w:p>
            <w:pPr>
              <w:spacing w:after="0"/>
              <w:rPr>
                <w:sz w:val="17"/>
                <w:szCs w:val="17"/>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Kirske</w:t>
            </w:r>
          </w:p>
        </w:tc>
        <w:tc>
          <w:tcPr>
            <w:tcW w:w="4200" w:type="dxa"/>
            <w:vAlign w:val="bottom"/>
          </w:tcPr>
          <w:p>
            <w:pPr>
              <w:spacing w:after="0"/>
              <w:rPr>
                <w:sz w:val="17"/>
                <w:szCs w:val="17"/>
                <w:color w:val="auto"/>
              </w:rPr>
            </w:pPr>
          </w:p>
        </w:tc>
      </w:tr>
      <w:tr>
        <w:trPr>
          <w:trHeight w:val="259"/>
        </w:trPr>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Adam R. Craig, M.D., Ph.D., M.B.A.</w:t>
            </w: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David Kirske</w:t>
            </w:r>
          </w:p>
        </w:tc>
      </w:tr>
      <w:tr>
        <w:trPr>
          <w:trHeight w:val="22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180" w:type="dxa"/>
            <w:vAlign w:val="bottom"/>
          </w:tcPr>
          <w:p>
            <w:pPr>
              <w:spacing w:after="0"/>
              <w:rPr>
                <w:sz w:val="19"/>
                <w:szCs w:val="19"/>
                <w:color w:val="auto"/>
              </w:rPr>
            </w:pPr>
          </w:p>
        </w:tc>
        <w:tc>
          <w:tcPr>
            <w:tcW w:w="5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4840" w:type="dxa"/>
            <w:vAlign w:val="bottom"/>
            <w:gridSpan w:val="2"/>
          </w:tcPr>
          <w:p>
            <w:pPr>
              <w:ind w:left="30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
      <w:numFmt w:val="bullet"/>
      <w:start w:val="1"/>
    </w:lvl>
    <w:lvl w:ilvl="1">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lvl w:ilvl="1">
      <w:lvlJc w:val="left"/>
      <w:lvlText w:val="%2"/>
      <w:numFmt w:val="decimal"/>
      <w:start w:val="104"/>
    </w:lvl>
  </w:abstractNum>
  <w:abstractNum w:abstractNumId="10">
    <w:nsid w:val="140E0F76"/>
    <w:multiLevelType w:val="hybridMultilevel"/>
    <w:lvl w:ilvl="0">
      <w:lvlJc w:val="left"/>
      <w:lvlText w:val="**"/>
      <w:numFmt w:val="bullet"/>
      <w:start w:val="1"/>
    </w:lvl>
    <w:lvl w:ilvl="1">
      <w:lvlJc w:val="left"/>
      <w:lvlText w:val="%2"/>
      <w:numFmt w:val="decimal"/>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45" Type="http://schemas.openxmlformats.org/officeDocument/2006/relationships/hyperlink" Target="https://www.sec.gov/Archives/edgar/data/1501697/000162828022024161/x4-ex31to8xkxcharteramen.htm" TargetMode="External"/><Relationship Id="rId46" Type="http://schemas.openxmlformats.org/officeDocument/2006/relationships/hyperlink" Target="https://www.sec.gov/Archives/edgar/data/1501697/000162828025019507/ex31amendmenttotherestatec.htm" TargetMode="External"/><Relationship Id="rId47" Type="http://schemas.openxmlformats.org/officeDocument/2006/relationships/hyperlink" Target="https://www.sec.gov/Archives/edgar/data/1501697/000119312517348213/d495338dex32.htm" TargetMode="External"/><Relationship Id="rId48" Type="http://schemas.openxmlformats.org/officeDocument/2006/relationships/hyperlink" Target="https://www.sec.gov/Archives/edgar/data/1501697/000119312519073465/d70248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2026-05-06T06:08:10Z</dcterms:created>
  <dcterms:modified xsi:type="dcterms:W3CDTF">2026-05-06T06:08:10Z</dcterms:modified>
</cp:coreProperties>
</file>