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678815</wp:posOffset>
            </wp:positionH>
            <wp:positionV relativeFrom="page">
              <wp:posOffset>600710</wp:posOffset>
            </wp:positionV>
            <wp:extent cx="67252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5285" cy="6985"/>
                    </a:xfrm>
                    <a:prstGeom prst="rect">
                      <a:avLst/>
                    </a:prstGeom>
                    <a:noFill/>
                  </pic:spPr>
                </pic:pic>
              </a:graphicData>
            </a:graphic>
          </wp:anchor>
        </w:drawing>
        <w:drawing>
          <wp:anchor simplePos="0" relativeHeight="251657728" behindDoc="1" locked="0" layoutInCell="0" allowOverlap="1">
            <wp:simplePos x="0" y="0"/>
            <wp:positionH relativeFrom="page">
              <wp:posOffset>678815</wp:posOffset>
            </wp:positionH>
            <wp:positionV relativeFrom="page">
              <wp:posOffset>621030</wp:posOffset>
            </wp:positionV>
            <wp:extent cx="67252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5285" cy="698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23495</wp:posOffset>
            </wp:positionV>
            <wp:extent cx="22504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-171450</wp:posOffset>
            </wp:positionV>
            <wp:extent cx="22504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0440" cy="6985"/>
                    </a:xfrm>
                    <a:prstGeom prst="rect">
                      <a:avLst/>
                    </a:prstGeom>
                    <a:noFill/>
                  </pic:spPr>
                </pic:pic>
              </a:graphicData>
            </a:graphic>
          </wp:anchor>
        </w:drawing>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30" w:lineRule="exact"/>
        <w:rPr>
          <w:sz w:val="24"/>
          <w:szCs w:val="24"/>
          <w:color w:val="auto"/>
        </w:rPr>
      </w:pPr>
    </w:p>
    <w:p>
      <w:pPr>
        <w:ind w:left="460" w:hanging="441"/>
        <w:spacing w:after="0"/>
        <w:tabs>
          <w:tab w:leader="none" w:pos="46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7" w:lineRule="exact"/>
        <w:rPr>
          <w:sz w:val="24"/>
          <w:szCs w:val="24"/>
          <w:color w:val="auto"/>
        </w:rPr>
      </w:pPr>
    </w:p>
    <w:p>
      <w:pPr>
        <w:ind w:left="520" w:hanging="427"/>
        <w:spacing w:after="0"/>
        <w:tabs>
          <w:tab w:leader="none" w:pos="52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Commission File Number: 001-38295</w:t>
      </w:r>
    </w:p>
    <w:p>
      <w:pPr>
        <w:spacing w:after="0" w:line="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X4 PHARMACEUTICALS,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________________________________________________________________________________________________________</w:t>
      </w:r>
    </w:p>
    <w:p>
      <w:pPr>
        <w:sectPr>
          <w:pgSz w:w="11900" w:h="16838" w:orient="portrait"/>
          <w:cols w:equalWidth="0" w:num="1">
            <w:col w:w="11260"/>
          </w:cols>
          <w:pgMar w:left="300" w:top="1117" w:right="339" w:bottom="1440" w:gutter="0" w:footer="0" w:header="0"/>
        </w:sectPr>
      </w:pPr>
    </w:p>
    <w:p>
      <w:pPr>
        <w:spacing w:after="0" w:line="7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4"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52"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61 North Beacon Street, 4th Floor</w:t>
      </w:r>
    </w:p>
    <w:p>
      <w:pPr>
        <w:ind w:left="2400"/>
        <w:spacing w:after="0" w:line="209" w:lineRule="auto"/>
        <w:rPr>
          <w:sz w:val="20"/>
          <w:szCs w:val="20"/>
          <w:color w:val="auto"/>
        </w:rPr>
      </w:pPr>
      <w:r>
        <w:rPr>
          <w:rFonts w:ascii="Times New Roman" w:cs="Times New Roman" w:eastAsia="Times New Roman" w:hAnsi="Times New Roman"/>
          <w:sz w:val="11"/>
          <w:szCs w:val="11"/>
          <w:b w:val="1"/>
          <w:bCs w:val="1"/>
          <w:color w:val="auto"/>
        </w:rPr>
        <w:t>Boston, Massachusetts</w:t>
      </w:r>
    </w:p>
    <w:p>
      <w:pPr>
        <w:ind w:left="204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93" w:lineRule="exact"/>
        <w:rPr>
          <w:sz w:val="24"/>
          <w:szCs w:val="24"/>
          <w:color w:val="auto"/>
        </w:rPr>
      </w:pPr>
    </w:p>
    <w:p>
      <w:pPr>
        <w:jc w:val="center"/>
        <w:ind w:left="3840"/>
        <w:spacing w:after="0"/>
        <w:rPr>
          <w:sz w:val="20"/>
          <w:szCs w:val="20"/>
          <w:color w:val="auto"/>
        </w:rPr>
      </w:pPr>
      <w:r>
        <w:rPr>
          <w:rFonts w:ascii="Times New Roman" w:cs="Times New Roman" w:eastAsia="Times New Roman" w:hAnsi="Times New Roman"/>
          <w:sz w:val="11"/>
          <w:szCs w:val="11"/>
          <w:b w:val="1"/>
          <w:bCs w:val="1"/>
          <w:color w:val="auto"/>
        </w:rPr>
        <w:t>(857) 529-8300</w:t>
      </w:r>
    </w:p>
    <w:p>
      <w:pPr>
        <w:spacing w:after="0" w:line="22" w:lineRule="exact"/>
        <w:rPr>
          <w:sz w:val="24"/>
          <w:szCs w:val="24"/>
          <w:color w:val="auto"/>
        </w:rPr>
      </w:pPr>
    </w:p>
    <w:p>
      <w:pPr>
        <w:jc w:val="center"/>
        <w:ind w:left="3840"/>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1"/>
          <w:szCs w:val="11"/>
          <w:b w:val="1"/>
          <w:bCs w:val="1"/>
          <w:color w:val="auto"/>
        </w:rPr>
        <w:t>27-3181608</w:t>
      </w:r>
    </w:p>
    <w:p>
      <w:pPr>
        <w:spacing w:after="0" w:line="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pacing w:after="0" w:line="21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1"/>
          <w:szCs w:val="11"/>
          <w:b w:val="1"/>
          <w:bCs w:val="1"/>
          <w:color w:val="auto"/>
        </w:rPr>
        <w:t>02134</w:t>
      </w:r>
    </w:p>
    <w:p>
      <w:pPr>
        <w:spacing w:after="0" w:line="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1"/>
          <w:szCs w:val="11"/>
          <w:color w:val="auto"/>
        </w:rPr>
        <w:t>(Zip Code)</w:t>
      </w:r>
    </w:p>
    <w:p>
      <w:pPr>
        <w:spacing w:after="0" w:line="692" w:lineRule="exact"/>
        <w:rPr>
          <w:sz w:val="24"/>
          <w:szCs w:val="24"/>
          <w:color w:val="auto"/>
        </w:rPr>
      </w:pPr>
    </w:p>
    <w:p>
      <w:pPr>
        <w:sectPr>
          <w:pgSz w:w="11900" w:h="16838" w:orient="portrait"/>
          <w:cols w:equalWidth="0" w:num="2">
            <w:col w:w="7440" w:space="80"/>
            <w:col w:w="3740"/>
          </w:cols>
          <w:pgMar w:left="300" w:top="1117" w:right="339" w:bottom="1440" w:gutter="0" w:footer="0" w:header="0"/>
          <w:type w:val="continuous"/>
        </w:sectPr>
      </w:pPr>
    </w:p>
    <w:p>
      <w:pPr>
        <w:ind w:left="1520"/>
        <w:spacing w:after="0"/>
        <w:tabs>
          <w:tab w:leader="none" w:pos="5260" w:val="left"/>
          <w:tab w:leader="none" w:pos="8520" w:val="left"/>
        </w:tabs>
        <w:rPr>
          <w:sz w:val="20"/>
          <w:szCs w:val="20"/>
          <w:color w:val="auto"/>
        </w:rPr>
      </w:pPr>
      <w:r>
        <w:rPr>
          <w:rFonts w:ascii="Times New Roman" w:cs="Times New Roman" w:eastAsia="Times New Roman" w:hAnsi="Times New Roman"/>
          <w:sz w:val="10"/>
          <w:szCs w:val="10"/>
          <w:color w:val="auto"/>
        </w:rPr>
        <w:t>Title of each class</w:t>
      </w:r>
      <w:r>
        <w:rPr>
          <w:sz w:val="20"/>
          <w:szCs w:val="20"/>
          <w:color w:val="auto"/>
        </w:rPr>
        <w:tab/>
      </w:r>
      <w:r>
        <w:rPr>
          <w:rFonts w:ascii="Times New Roman" w:cs="Times New Roman" w:eastAsia="Times New Roman" w:hAnsi="Times New Roman"/>
          <w:sz w:val="10"/>
          <w:szCs w:val="10"/>
          <w:color w:val="auto"/>
        </w:rPr>
        <w:t>Trading Symbol(s)</w:t>
      </w:r>
      <w:r>
        <w:rPr>
          <w:sz w:val="20"/>
          <w:szCs w:val="20"/>
          <w:color w:val="auto"/>
        </w:rPr>
        <w:tab/>
      </w:r>
      <w:r>
        <w:rPr>
          <w:rFonts w:ascii="Times New Roman" w:cs="Times New Roman" w:eastAsia="Times New Roman" w:hAnsi="Times New Roman"/>
          <w:sz w:val="9"/>
          <w:szCs w:val="9"/>
          <w:color w:val="auto"/>
        </w:rPr>
        <w:t>Name of each exchange on which registered</w:t>
      </w:r>
    </w:p>
    <w:p>
      <w:pPr>
        <w:spacing w:after="0" w:line="23" w:lineRule="exact"/>
        <w:rPr>
          <w:sz w:val="24"/>
          <w:szCs w:val="24"/>
          <w:color w:val="auto"/>
        </w:rPr>
      </w:pPr>
    </w:p>
    <w:p>
      <w:pPr>
        <w:ind w:left="1560"/>
        <w:spacing w:after="0"/>
        <w:tabs>
          <w:tab w:leader="none" w:pos="5500" w:val="left"/>
          <w:tab w:leader="none" w:pos="8780" w:val="left"/>
        </w:tabs>
        <w:rPr>
          <w:sz w:val="20"/>
          <w:szCs w:val="20"/>
          <w:color w:val="auto"/>
        </w:rPr>
      </w:pPr>
      <w:r>
        <w:rPr>
          <w:rFonts w:ascii="Times New Roman" w:cs="Times New Roman" w:eastAsia="Times New Roman" w:hAnsi="Times New Roman"/>
          <w:sz w:val="10"/>
          <w:szCs w:val="10"/>
          <w:color w:val="auto"/>
        </w:rPr>
        <w:t>Common Stock</w:t>
      </w:r>
      <w:r>
        <w:rPr>
          <w:sz w:val="20"/>
          <w:szCs w:val="20"/>
          <w:color w:val="auto"/>
        </w:rPr>
        <w:tab/>
      </w:r>
      <w:r>
        <w:rPr>
          <w:rFonts w:ascii="Times New Roman" w:cs="Times New Roman" w:eastAsia="Times New Roman" w:hAnsi="Times New Roman"/>
          <w:sz w:val="10"/>
          <w:szCs w:val="10"/>
          <w:color w:val="auto"/>
        </w:rPr>
        <w:t>XFOR</w:t>
      </w:r>
      <w:r>
        <w:rPr>
          <w:sz w:val="20"/>
          <w:szCs w:val="20"/>
          <w:color w:val="auto"/>
        </w:rPr>
        <w:tab/>
      </w:r>
      <w:r>
        <w:rPr>
          <w:rFonts w:ascii="Times New Roman" w:cs="Times New Roman" w:eastAsia="Times New Roman" w:hAnsi="Times New Roman"/>
          <w:sz w:val="9"/>
          <w:szCs w:val="9"/>
          <w:color w:val="auto"/>
        </w:rPr>
        <w:t>The Nasdaq Stock Market LLC</w:t>
      </w:r>
    </w:p>
    <w:p>
      <w:pPr>
        <w:spacing w:after="0" w:line="12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0"/>
          <w:szCs w:val="10"/>
          <w:color w:val="auto"/>
        </w:rPr>
        <w:t>Securities registered pursuant to Section 12(g) of the Act: none</w:t>
      </w:r>
    </w:p>
    <w:p>
      <w:pPr>
        <w:spacing w:after="0" w:line="28" w:lineRule="exact"/>
        <w:rPr>
          <w:sz w:val="24"/>
          <w:szCs w:val="24"/>
          <w:color w:val="auto"/>
        </w:rPr>
      </w:pPr>
    </w:p>
    <w:p>
      <w:pPr>
        <w:spacing w:after="0" w:line="115" w:lineRule="exact"/>
        <w:tabs>
          <w:tab w:leader="none" w:pos="5020" w:val="left"/>
        </w:tabs>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10"/>
          <w:szCs w:val="10"/>
          <w:color w:val="auto"/>
        </w:rPr>
        <w:t>☒</w:t>
      </w:r>
    </w:p>
    <w:p>
      <w:pPr>
        <w:spacing w:after="0" w:line="97"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02" w:lineRule="exact"/>
        <w:rPr>
          <w:sz w:val="24"/>
          <w:szCs w:val="24"/>
          <w:color w:val="auto"/>
        </w:rPr>
      </w:pPr>
    </w:p>
    <w:p>
      <w:pPr>
        <w:ind w:right="140"/>
        <w:spacing w:after="0" w:line="12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63" w:lineRule="exact"/>
        <w:rPr>
          <w:sz w:val="24"/>
          <w:szCs w:val="24"/>
          <w:color w:val="auto"/>
        </w:rPr>
      </w:pPr>
    </w:p>
    <w:p>
      <w:pPr>
        <w:spacing w:after="0" w:line="12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(of this chapter) during the preceding 12 months (of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80" w:lineRule="exact"/>
        <w:rPr>
          <w:sz w:val="24"/>
          <w:szCs w:val="24"/>
          <w:color w:val="auto"/>
        </w:rPr>
      </w:pPr>
    </w:p>
    <w:p>
      <w:pPr>
        <w:ind w:right="160"/>
        <w:spacing w:after="0" w:line="249"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54"/>
        </w:trPr>
        <w:tc>
          <w:tcPr>
            <w:tcW w:w="210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3460" w:type="dxa"/>
            <w:vAlign w:val="bottom"/>
          </w:tcPr>
          <w:p>
            <w:pPr>
              <w:ind w:left="1160"/>
              <w:spacing w:after="0" w:line="101" w:lineRule="exact"/>
              <w:rPr>
                <w:sz w:val="20"/>
                <w:szCs w:val="20"/>
                <w:color w:val="auto"/>
              </w:rPr>
            </w:pPr>
            <w:r>
              <w:rPr>
                <w:rFonts w:ascii="MS PGothic" w:cs="MS PGothic" w:eastAsia="MS PGothic" w:hAnsi="MS PGothic"/>
                <w:sz w:val="10"/>
                <w:szCs w:val="10"/>
                <w:color w:val="auto"/>
              </w:rPr>
              <w:t>☐</w:t>
            </w:r>
          </w:p>
        </w:tc>
        <w:tc>
          <w:tcPr>
            <w:tcW w:w="4400" w:type="dxa"/>
            <w:vAlign w:val="bottom"/>
          </w:tcPr>
          <w:p>
            <w:pPr>
              <w:ind w:left="2220"/>
              <w:spacing w:after="0"/>
              <w:rPr>
                <w:sz w:val="20"/>
                <w:szCs w:val="20"/>
                <w:color w:val="auto"/>
              </w:rPr>
            </w:pPr>
            <w:r>
              <w:rPr>
                <w:rFonts w:ascii="Times New Roman" w:cs="Times New Roman" w:eastAsia="Times New Roman" w:hAnsi="Times New Roman"/>
                <w:sz w:val="10"/>
                <w:szCs w:val="10"/>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3460" w:type="dxa"/>
            <w:vAlign w:val="bottom"/>
          </w:tcPr>
          <w:p>
            <w:pPr>
              <w:ind w:left="1160"/>
              <w:spacing w:after="0" w:line="101" w:lineRule="exact"/>
              <w:rPr>
                <w:sz w:val="20"/>
                <w:szCs w:val="20"/>
                <w:color w:val="auto"/>
              </w:rPr>
            </w:pPr>
            <w:r>
              <w:rPr>
                <w:rFonts w:ascii="MS PGothic" w:cs="MS PGothic" w:eastAsia="MS PGothic" w:hAnsi="MS PGothic"/>
                <w:sz w:val="10"/>
                <w:szCs w:val="10"/>
                <w:color w:val="auto"/>
              </w:rPr>
              <w:t>☒</w:t>
            </w:r>
          </w:p>
        </w:tc>
        <w:tc>
          <w:tcPr>
            <w:tcW w:w="4400" w:type="dxa"/>
            <w:vAlign w:val="bottom"/>
          </w:tcPr>
          <w:p>
            <w:pPr>
              <w:ind w:left="22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1"/>
        </w:trPr>
        <w:tc>
          <w:tcPr>
            <w:tcW w:w="2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400" w:type="dxa"/>
            <w:vAlign w:val="bottom"/>
          </w:tcPr>
          <w:p>
            <w:pPr>
              <w:ind w:left="2220"/>
              <w:spacing w:after="0"/>
              <w:rPr>
                <w:sz w:val="20"/>
                <w:szCs w:val="20"/>
                <w:color w:val="auto"/>
              </w:rPr>
            </w:pPr>
            <w:r>
              <w:rPr>
                <w:rFonts w:ascii="Times New Roman" w:cs="Times New Roman" w:eastAsia="Times New Roman" w:hAnsi="Times New Roman"/>
                <w:sz w:val="10"/>
                <w:szCs w:val="10"/>
                <w:color w:val="auto"/>
              </w:rPr>
              <w:t>Emerging growth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48"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92" w:lineRule="exact"/>
        <w:rPr>
          <w:sz w:val="24"/>
          <w:szCs w:val="24"/>
          <w:color w:val="auto"/>
        </w:rPr>
      </w:pPr>
    </w:p>
    <w:p>
      <w:pPr>
        <w:ind w:right="20"/>
        <w:spacing w:after="0" w:line="12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48"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87" w:lineRule="exact"/>
        <w:rPr>
          <w:sz w:val="24"/>
          <w:szCs w:val="24"/>
          <w:color w:val="auto"/>
        </w:rPr>
      </w:pPr>
    </w:p>
    <w:p>
      <w:pPr>
        <w:spacing w:after="0" w:line="115" w:lineRule="exact"/>
        <w:tabs>
          <w:tab w:leader="none" w:pos="10500" w:val="left"/>
        </w:tabs>
        <w:rPr>
          <w:sz w:val="20"/>
          <w:szCs w:val="20"/>
          <w:color w:val="auto"/>
        </w:rPr>
      </w:pPr>
      <w:r>
        <w:rPr>
          <w:rFonts w:ascii="Times New Roman" w:cs="Times New Roman" w:eastAsia="Times New Roman" w:hAnsi="Times New Roman"/>
          <w:sz w:val="10"/>
          <w:szCs w:val="10"/>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r>
        <w:rPr>
          <w:sz w:val="20"/>
          <w:szCs w:val="20"/>
          <w:color w:val="auto"/>
        </w:rPr>
        <w:tab/>
      </w:r>
      <w:r>
        <w:rPr>
          <w:rFonts w:ascii="MS PGothic" w:cs="MS PGothic" w:eastAsia="MS PGothic" w:hAnsi="MS PGothic"/>
          <w:sz w:val="7"/>
          <w:szCs w:val="7"/>
          <w:color w:val="auto"/>
        </w:rPr>
        <w: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4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Exchange Act).</w:t>
            </w:r>
          </w:p>
        </w:tc>
        <w:tc>
          <w:tcPr>
            <w:tcW w:w="2560" w:type="dxa"/>
            <w:vAlign w:val="bottom"/>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29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92"/>
        </w:trPr>
        <w:tc>
          <w:tcPr>
            <w:tcW w:w="1012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On June 30, 2022, the aggregate market value of the registrant’s voting common stock held by non-affiliates of the registrant was approximately $29.6 million based upon the closing sale price on the Nasdaq Capital Market reported on June 30, 2022.</w:t>
            </w:r>
          </w:p>
        </w:tc>
        <w:tc>
          <w:tcPr>
            <w:tcW w:w="360" w:type="dxa"/>
            <w:vAlign w:val="bottom"/>
          </w:tcPr>
          <w:p>
            <w:pPr>
              <w:spacing w:after="0"/>
              <w:rPr>
                <w:sz w:val="16"/>
                <w:szCs w:val="16"/>
                <w:color w:val="auto"/>
              </w:rPr>
            </w:pPr>
          </w:p>
        </w:tc>
      </w:tr>
      <w:tr>
        <w:trPr>
          <w:trHeight w:val="159"/>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Independent Registered Public Accounting Firm</w:t>
            </w:r>
          </w:p>
        </w:tc>
        <w:tc>
          <w:tcPr>
            <w:tcW w:w="1920" w:type="dxa"/>
            <w:vAlign w:val="bottom"/>
          </w:tcPr>
          <w:p>
            <w:pPr>
              <w:ind w:left="720"/>
              <w:spacing w:after="0"/>
              <w:rPr>
                <w:sz w:val="20"/>
                <w:szCs w:val="20"/>
                <w:color w:val="auto"/>
              </w:rPr>
            </w:pPr>
            <w:r>
              <w:rPr>
                <w:rFonts w:ascii="Times New Roman" w:cs="Times New Roman" w:eastAsia="Times New Roman" w:hAnsi="Times New Roman"/>
                <w:sz w:val="10"/>
                <w:szCs w:val="10"/>
                <w:color w:val="auto"/>
                <w:w w:val="98"/>
              </w:rPr>
              <w:t>PricewaterhouseCoopers LLP</w:t>
            </w:r>
          </w:p>
        </w:tc>
        <w:tc>
          <w:tcPr>
            <w:tcW w:w="256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Boston, Massachusetts, US</w:t>
            </w:r>
          </w:p>
        </w:tc>
        <w:tc>
          <w:tcPr>
            <w:tcW w:w="296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Firm ID</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w:t>
            </w:r>
          </w:p>
        </w:tc>
      </w:tr>
    </w:tbl>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As of March 15, 2023, there were 122,207,488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 w:lineRule="exact"/>
        <w:rPr>
          <w:sz w:val="24"/>
          <w:szCs w:val="24"/>
          <w:color w:val="auto"/>
        </w:rPr>
      </w:pPr>
    </w:p>
    <w:p>
      <w:pPr>
        <w:ind w:right="200"/>
        <w:spacing w:after="0" w:line="277" w:lineRule="auto"/>
        <w:rPr>
          <w:sz w:val="20"/>
          <w:szCs w:val="20"/>
          <w:color w:val="auto"/>
        </w:rPr>
      </w:pPr>
      <w:r>
        <w:rPr>
          <w:rFonts w:ascii="Times New Roman" w:cs="Times New Roman" w:eastAsia="Times New Roman" w:hAnsi="Times New Roman"/>
          <w:sz w:val="11"/>
          <w:szCs w:val="11"/>
          <w:color w:val="auto"/>
        </w:rPr>
        <w:t>Portions of the registrant’s definitive proxy statement, (the “2023 Proxy Statement”) for its 2023 Annual Meeting of Stockholders, which the registrant intends to file pursuant to Regulation 14A with the Securities and Exchange Commission not later than 120 days after the registrant's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438785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80" w:type="dxa"/>
            <w:vAlign w:val="bottom"/>
            <w:gridSpan w:val="9"/>
          </w:tcPr>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4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3"/>
              </w:rPr>
              <w:t>PART I</w:t>
            </w:r>
          </w:p>
        </w:tc>
        <w:tc>
          <w:tcPr>
            <w:tcW w:w="72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w:t>
            </w:r>
          </w:p>
        </w:tc>
        <w:tc>
          <w:tcPr>
            <w:tcW w:w="94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1A.</w:t>
            </w: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RISK FACTORS</w:t>
            </w:r>
          </w:p>
        </w:tc>
        <w:tc>
          <w:tcPr>
            <w:tcW w:w="8460" w:type="dxa"/>
            <w:vAlign w:val="bottom"/>
            <w:gridSpan w:val="17"/>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1B.</w:t>
            </w:r>
          </w:p>
        </w:tc>
        <w:tc>
          <w:tcPr>
            <w:tcW w:w="2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UNRESOLVED STAFF COMMENTS</w:t>
            </w:r>
          </w:p>
        </w:tc>
        <w:tc>
          <w:tcPr>
            <w:tcW w:w="7220" w:type="dxa"/>
            <w:vAlign w:val="bottom"/>
            <w:gridSpan w:val="12"/>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2.</w:t>
            </w:r>
          </w:p>
        </w:tc>
        <w:tc>
          <w:tcPr>
            <w:tcW w:w="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PROPERTIES</w:t>
            </w:r>
          </w:p>
        </w:tc>
        <w:tc>
          <w:tcPr>
            <w:tcW w:w="8600" w:type="dxa"/>
            <w:vAlign w:val="bottom"/>
            <w:gridSpan w:val="18"/>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3.</w:t>
            </w:r>
          </w:p>
        </w:tc>
        <w:tc>
          <w:tcPr>
            <w:tcW w:w="94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4.</w:t>
            </w:r>
          </w:p>
        </w:tc>
        <w:tc>
          <w:tcPr>
            <w:tcW w:w="94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71"/>
        </w:trPr>
        <w:tc>
          <w:tcPr>
            <w:tcW w:w="20" w:type="dxa"/>
            <w:vAlign w:val="bottom"/>
          </w:tcPr>
          <w:p>
            <w:pPr>
              <w:spacing w:after="0"/>
              <w:rPr>
                <w:sz w:val="14"/>
                <w:szCs w:val="1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660" w:type="dxa"/>
            <w:vAlign w:val="bottom"/>
            <w:gridSpan w:val="3"/>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5.</w:t>
            </w:r>
          </w:p>
        </w:tc>
        <w:tc>
          <w:tcPr>
            <w:tcW w:w="89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2"/>
        </w:trPr>
        <w:tc>
          <w:tcPr>
            <w:tcW w:w="2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6.</w:t>
            </w:r>
          </w:p>
        </w:tc>
        <w:tc>
          <w:tcPr>
            <w:tcW w:w="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[RESERVED]</w:t>
            </w:r>
          </w:p>
        </w:tc>
        <w:tc>
          <w:tcPr>
            <w:tcW w:w="8620" w:type="dxa"/>
            <w:vAlign w:val="bottom"/>
            <w:gridSpan w:val="19"/>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w:t>
            </w:r>
          </w:p>
        </w:tc>
        <w:tc>
          <w:tcPr>
            <w:tcW w:w="69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460" w:type="dxa"/>
            <w:vAlign w:val="bottom"/>
            <w:gridSpan w:val="4"/>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7A.</w:t>
            </w:r>
          </w:p>
        </w:tc>
        <w:tc>
          <w:tcPr>
            <w:tcW w:w="94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8.</w:t>
            </w:r>
          </w:p>
        </w:tc>
        <w:tc>
          <w:tcPr>
            <w:tcW w:w="36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8"/>
              </w:rPr>
              <w:t>FINANCIAL STATEMENTS AND SUPPLEMENTARY DATA</w:t>
            </w:r>
          </w:p>
        </w:tc>
        <w:tc>
          <w:tcPr>
            <w:tcW w:w="1160" w:type="dxa"/>
            <w:vAlign w:val="bottom"/>
            <w:tcBorders>
              <w:top w:val="single" w:sz="8" w:color="0000FF"/>
            </w:tcBorders>
            <w:gridSpan w:val="2"/>
          </w:tcPr>
          <w:p>
            <w:pPr>
              <w:spacing w:after="0"/>
              <w:rPr>
                <w:sz w:val="13"/>
                <w:szCs w:val="13"/>
                <w:color w:val="auto"/>
              </w:rPr>
            </w:pPr>
          </w:p>
        </w:tc>
        <w:tc>
          <w:tcPr>
            <w:tcW w:w="4620" w:type="dxa"/>
            <w:vAlign w:val="bottom"/>
            <w:gridSpan w:val="7"/>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w:t>
            </w:r>
          </w:p>
        </w:tc>
        <w:tc>
          <w:tcPr>
            <w:tcW w:w="7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DISCLOSURES</w:t>
            </w:r>
          </w:p>
        </w:tc>
        <w:tc>
          <w:tcPr>
            <w:tcW w:w="2180" w:type="dxa"/>
            <w:vAlign w:val="bottom"/>
            <w:gridSpan w:val="3"/>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9A.</w:t>
            </w:r>
          </w:p>
        </w:tc>
        <w:tc>
          <w:tcPr>
            <w:tcW w:w="2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CONTROLS AND PROCEDURES</w:t>
            </w:r>
          </w:p>
        </w:tc>
        <w:tc>
          <w:tcPr>
            <w:tcW w:w="7400" w:type="dxa"/>
            <w:vAlign w:val="bottom"/>
            <w:gridSpan w:val="13"/>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9B.</w:t>
            </w:r>
          </w:p>
        </w:tc>
        <w:tc>
          <w:tcPr>
            <w:tcW w:w="1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OTHER INFORMATION</w:t>
            </w:r>
          </w:p>
        </w:tc>
        <w:tc>
          <w:tcPr>
            <w:tcW w:w="7960" w:type="dxa"/>
            <w:vAlign w:val="bottom"/>
            <w:gridSpan w:val="15"/>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line="150" w:lineRule="exact"/>
              <w:rPr>
                <w:sz w:val="20"/>
                <w:szCs w:val="20"/>
                <w:color w:val="auto"/>
              </w:rPr>
            </w:pPr>
            <w:r>
              <w:rPr>
                <w:rFonts w:ascii="Times New Roman" w:cs="Times New Roman" w:eastAsia="Times New Roman" w:hAnsi="Times New Roman"/>
                <w:sz w:val="14"/>
                <w:szCs w:val="14"/>
                <w:color w:val="auto"/>
              </w:rPr>
              <w:t>Item 9C.</w:t>
            </w:r>
          </w:p>
        </w:tc>
        <w:tc>
          <w:tcPr>
            <w:tcW w:w="944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6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89</w:t>
            </w:r>
          </w:p>
        </w:tc>
      </w:tr>
      <w:tr>
        <w:trPr>
          <w:trHeight w:val="203"/>
        </w:trPr>
        <w:tc>
          <w:tcPr>
            <w:tcW w:w="20" w:type="dxa"/>
            <w:vAlign w:val="bottom"/>
          </w:tcPr>
          <w:p>
            <w:pPr>
              <w:spacing w:after="0"/>
              <w:rPr>
                <w:sz w:val="17"/>
                <w:szCs w:val="17"/>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60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10.</w:t>
            </w:r>
          </w:p>
        </w:tc>
        <w:tc>
          <w:tcPr>
            <w:tcW w:w="4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880" w:type="dxa"/>
            <w:vAlign w:val="bottom"/>
            <w:gridSpan w:val="8"/>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11.</w:t>
            </w:r>
          </w:p>
        </w:tc>
        <w:tc>
          <w:tcPr>
            <w:tcW w:w="1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EXECUTIVE COMPENSATION</w:t>
            </w:r>
          </w:p>
        </w:tc>
        <w:tc>
          <w:tcPr>
            <w:tcW w:w="7520" w:type="dxa"/>
            <w:vAlign w:val="bottom"/>
            <w:gridSpan w:val="14"/>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12.</w:t>
            </w:r>
          </w:p>
        </w:tc>
        <w:tc>
          <w:tcPr>
            <w:tcW w:w="80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400" w:type="dxa"/>
            <w:vAlign w:val="bottom"/>
            <w:gridSpan w:val="2"/>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13.</w:t>
            </w:r>
          </w:p>
        </w:tc>
        <w:tc>
          <w:tcPr>
            <w:tcW w:w="94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14.</w:t>
            </w:r>
          </w:p>
        </w:tc>
        <w:tc>
          <w:tcPr>
            <w:tcW w:w="60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400" w:type="dxa"/>
            <w:vAlign w:val="bottom"/>
            <w:gridSpan w:val="5"/>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1"/>
        </w:trPr>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6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Item 15.</w:t>
            </w:r>
          </w:p>
        </w:tc>
        <w:tc>
          <w:tcPr>
            <w:tcW w:w="620" w:type="dxa"/>
            <w:vAlign w:val="bottom"/>
            <w:gridSpan w:val="2"/>
          </w:tcPr>
          <w:p>
            <w:pPr>
              <w:spacing w:after="0"/>
              <w:rPr>
                <w:sz w:val="15"/>
                <w:szCs w:val="15"/>
                <w:color w:val="auto"/>
              </w:rPr>
            </w:pPr>
          </w:p>
        </w:tc>
        <w:tc>
          <w:tcPr>
            <w:tcW w:w="94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EXHIBIT AND FINANCIAL STATEMENT SCHEDULES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0"/>
        </w:trPr>
        <w:tc>
          <w:tcPr>
            <w:tcW w:w="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16.</w:t>
            </w:r>
          </w:p>
        </w:tc>
        <w:tc>
          <w:tcPr>
            <w:tcW w:w="34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6040" w:type="dxa"/>
            <w:vAlign w:val="bottom"/>
            <w:gridSpan w:val="10"/>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72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Borders>
              <w:top w:val="single" w:sz="8" w:color="0000FF"/>
            </w:tcBorders>
            <w:gridSpan w:val="6"/>
          </w:tcPr>
          <w:p>
            <w:pPr>
              <w:spacing w:after="0"/>
              <w:rPr>
                <w:sz w:val="24"/>
                <w:szCs w:val="24"/>
                <w:color w:val="auto"/>
              </w:rPr>
            </w:pPr>
          </w:p>
        </w:tc>
        <w:tc>
          <w:tcPr>
            <w:tcW w:w="3080" w:type="dxa"/>
            <w:vAlign w:val="bottom"/>
            <w:gridSpan w:val="7"/>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This Annual Report contains forward-looking statements within the meaning of Section 27A of the Securities Act of 1933, as amended (the “Securities Act”), and Section 21E of the Securities Exchange Act of 1934, as amended (the “Exchange Act”), that relate to future events or to our future operations or financial performance.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Actual results or events could differ materially from the plans, intentions and expectations disclosed in these forward-looking statements. These forward-looking statements are subject to a number of known and unknown risks, uncertainties and assumptions, including risks described in the section titled “Risk Factors” and elsewhere in this report, regarding, among other things:</w:t>
      </w:r>
    </w:p>
    <w:p>
      <w:pPr>
        <w:spacing w:after="0" w:line="243" w:lineRule="exact"/>
        <w:rPr>
          <w:sz w:val="20"/>
          <w:szCs w:val="20"/>
          <w:color w:val="auto"/>
        </w:rPr>
      </w:pPr>
    </w:p>
    <w:p>
      <w:pPr>
        <w:ind w:left="1280" w:right="100" w:hanging="511"/>
        <w:spacing w:after="0" w:line="271" w:lineRule="auto"/>
        <w:tabs>
          <w:tab w:leader="none" w:pos="12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39"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including clinical utility, that may be derived from any of our product candidates;</w:t>
      </w:r>
    </w:p>
    <w:p>
      <w:pPr>
        <w:spacing w:after="0" w:line="83" w:lineRule="exact"/>
        <w:rPr>
          <w:rFonts w:ascii="Times New Roman" w:cs="Times New Roman" w:eastAsia="Times New Roman" w:hAnsi="Times New Roman"/>
          <w:sz w:val="14"/>
          <w:szCs w:val="14"/>
          <w:color w:val="auto"/>
        </w:rPr>
      </w:pPr>
    </w:p>
    <w:p>
      <w:pPr>
        <w:ind w:left="1280" w:right="60" w:hanging="511"/>
        <w:spacing w:after="0" w:line="271" w:lineRule="auto"/>
        <w:tabs>
          <w:tab w:leader="none" w:pos="12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obtain and maintain regulatory approval of our existing product candidates or any product candidates that we may develop in the future, and any related restrictions, limitations, or warnings in the label of any approved product candidates;</w:t>
      </w:r>
    </w:p>
    <w:p>
      <w:pPr>
        <w:spacing w:after="0" w:line="39"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research, develop, manufacture and commercialize our product candidates;</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regulatory filings for our product candidates, along with regulatory developments in the United States and other foreign countries;</w:t>
      </w:r>
    </w:p>
    <w:p>
      <w:pPr>
        <w:spacing w:after="0" w:line="83" w:lineRule="exact"/>
        <w:rPr>
          <w:rFonts w:ascii="Times New Roman" w:cs="Times New Roman" w:eastAsia="Times New Roman" w:hAnsi="Times New Roman"/>
          <w:sz w:val="14"/>
          <w:szCs w:val="14"/>
          <w:color w:val="auto"/>
        </w:rPr>
      </w:pPr>
    </w:p>
    <w:p>
      <w:pPr>
        <w:ind w:left="1280" w:right="580" w:hanging="511"/>
        <w:spacing w:after="0" w:line="271" w:lineRule="auto"/>
        <w:tabs>
          <w:tab w:leader="none" w:pos="12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if approved, and the rate and degree of market acceptance of our product candidates, including reimbursement that may be received from payors;</w:t>
      </w:r>
    </w:p>
    <w:p>
      <w:pPr>
        <w:spacing w:after="0" w:line="39"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benefits of U.S. Food and Drug Administration and European Commission designations, including, without limitation, Fast Track, Orphan Drug and Breakthrough Therapy;</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employees and key personnel;</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and the development of and projections relating to our competitors or our industry;</w:t>
      </w:r>
    </w:p>
    <w:p>
      <w:pPr>
        <w:spacing w:after="0" w:line="72"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and maintain intellectual property protection;</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and expectations regarding future operations, financial position, revenues, costs, expenses, uses of cash, capital requirements or our need for additional financing;</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in-license, acquire, develop and commercialize additional product candidates;</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identify additional product candidates with significant commercial potential that are consistent with our commercial objectives;</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strategies, prospects, plans, expectations or objectives; and</w:t>
      </w:r>
    </w:p>
    <w:p>
      <w:pPr>
        <w:spacing w:after="0" w:line="83"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section titled “Risk Factors” in this Annual Report.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3" w:name="page4"/>
    <w:bookmarkEnd w:id="3"/>
    <w:p>
      <w:pPr>
        <w:spacing w:after="0" w:line="244" w:lineRule="auto"/>
        <w:rPr>
          <w:sz w:val="20"/>
          <w:szCs w:val="20"/>
          <w:color w:val="auto"/>
        </w:rPr>
      </w:pPr>
      <w:r>
        <w:rPr>
          <w:rFonts w:ascii="Times New Roman" w:cs="Times New Roman" w:eastAsia="Times New Roman" w:hAnsi="Times New Roman"/>
          <w:sz w:val="14"/>
          <w:szCs w:val="14"/>
          <w:color w:val="auto"/>
        </w:rPr>
        <w:t>You should refer to the section titled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requires otherwise, references in this Annual Report to “X4”, “we”, “us” and “our” refer to X4 Pharmaceuticals, Inc. and its subsidiaries.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w:t>
        <w:tab/>
        <w:t>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6"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4"/>
          <w:szCs w:val="14"/>
          <w:color w:val="auto"/>
        </w:rPr>
        <w:t>We are a late clinical-stage biopharmaceutical company discovering and developing novel therapeutics for the treatment of rare diseases and those with limited treatment options, with a focus on conditions resulting from dysfunction of the immune system.</w:t>
      </w:r>
    </w:p>
    <w:p>
      <w:pPr>
        <w:spacing w:after="0" w:line="151"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4"/>
          <w:szCs w:val="14"/>
          <w:color w:val="auto"/>
        </w:rPr>
        <w:t>Our lead clinical candidate is mavorixafor, a small molecule antagonist of chemokine receptor CXCR4, that is being developed as an oral, once-daily therapy. Due to its ability to increase the mobilization of mature, functional white blood cells from the bone marrow into the bloodstream, we believe that mavorixafor has the potential to provide therapeutic benefit across a variety of chronic neutropenic disorders, including WHIM (Warts, Hypogammaglobulinemia, Infections, and Myelokathexis) syndrome, a rare, primary immunodeficiency.</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Following announcement of positive top-line data from our global, pivotal, Phase 3 clinical trial, we are currently preparing a United States regulatory submission seeking approval of oral, once-daily mavorixafor in the treatment of people aged 12 years and older with WHIM syndrome. We are also currently advancing mavorixafor in a Phase 2 clinical trial in people with certain chronic neutropenic disorders following positive results from a Phase 1b clinical trial of mavorixafor in people with idiopathic, cyclic or congenital neutropenia.</w:t>
      </w:r>
    </w:p>
    <w:p>
      <w:pPr>
        <w:spacing w:after="0" w:line="14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We believe that successfully developing mavorixafor and providing new therapeutic options to individuals in the United States diagnosed with certain chronic neutropenic disorders has the potential to revolutionize the treatment landscape, which is principally served by injectable therapies that are frequently associated with treatment-limiting adverse events.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Focus</w:t>
      </w:r>
    </w:p>
    <w:p>
      <w:pPr>
        <w:spacing w:after="0" w:line="6"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4"/>
          <w:szCs w:val="14"/>
          <w:color w:val="auto"/>
        </w:rPr>
        <w:t>We have developed a pipeline of small-molecule, oral antagonists of the chemokine receptor CXCR4. CXCR4, or C-X-C receptor type 4, is a cell receptor that helps regulate the movement of immune cells within the body. CXCR4 receptor stimulation by its cognate ligand, CXCL12, has been shown to play a key role in the maturation and mobilization of white blood cells such as neutrophils, lymphocytes (including both B cells and T cells), and monocytes, into the bloodstream. Because antagonism of the CXCR4 receptor has been shown to increase the trafficking of white blood cells, we believe that therapeutic inhibition of the CXCR4/CXCL12 axis holds the potential to benefit people with a wide variety of diseases where there remain significant unmet needs, including chronic neutropenic disorders and certain types of cancer.</w:t>
      </w:r>
    </w:p>
    <w:p>
      <w:pPr>
        <w:spacing w:after="0" w:line="15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color w:val="auto"/>
        </w:rPr>
        <w:t>Chronic neutropenic disorders are rare blood conditions where people of all ages experience low levels of neutrophils and tend to be at greater risk of developing infections and certain types of cancer. Depending on the levels of circulating neutrophils in the blood, neutropenia can be categorized as mild, moderate, or severe.</w:t>
      </w:r>
    </w:p>
    <w:p>
      <w:pPr>
        <w:spacing w:after="0" w:line="14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4"/>
          <w:szCs w:val="14"/>
          <w:color w:val="auto"/>
        </w:rPr>
        <w:t>We are currently focused on advancing our lead clinical candidate, mavorixafor, for the treatment of a number of chronic neutropenia indications, including WHIM syndrome, while also pursuing partnership opportunities to further advance our previous work in oncology indications.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16"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4"/>
          <w:szCs w:val="14"/>
          <w:color w:val="auto"/>
        </w:rPr>
        <w:t>Our deep understanding of the biology of the CXCR4 pathway has enabled us to discover and develop multiple small-molecule CXCR4 antagonists. To date, we have advanced our lead candidate, mavorixafor, into late-stage clinical development. Mavorixafor is an orally available, small-molecule CXCR4 antagonist designed to facilitate the mobilization of white blood cells from the bone marrow into the blood, to increase levels of circulating neutrophils, lymphocytes, and monocytes, and to improve immune system function.</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To date, more than 200 patients in clinical trials have been dosed with mavorixafor, which has demonstrated a favorable tolerability profile. In these trials, we have observed drug exposure in patients, a 22-hour half-life, and bioavailability of mavorixafor to support once-daily oral dosing, which we believe would provide convenient dosing and better patient compliance for chronic or life-long use, if approved. The manufacturing process for mavorixafor utilizes well established, small-molecule chemistry, creating the potential for a commercial product that can be supported by specialty pharmacy distribution.</w:t>
      </w:r>
    </w:p>
    <w:p>
      <w:pPr>
        <w:spacing w:after="0" w:line="15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4"/>
          <w:szCs w:val="14"/>
          <w:color w:val="auto"/>
        </w:rPr>
        <w:t>We have successfully advanced mavorixafor through a pivotal, Phase 3 clinical trial, referred to as the 4WHIM trial, in people with WHIM (Warts, Hypogammaglobulinemia, Infections, and Myelokathexis) syndrome, a rare, primary immunodeficiency, through a Phase 1b clinical trial in people with congenital, idiopathic, or cyclic neutropenia, and through a Phase 1b clinical trial of mavorixafor in combination with the Bruton tyrosine kinase inhibitor ibrutinib in people with a rare B-cell lymphoma called Waldenström’s macroglobulinemia (“Waldenström’s”).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5" w:name="page6"/>
    <w:bookmarkEnd w:id="5"/>
    <w:p>
      <w:pPr>
        <w:ind w:right="200"/>
        <w:spacing w:after="0" w:line="246" w:lineRule="auto"/>
        <w:rPr>
          <w:sz w:val="20"/>
          <w:szCs w:val="20"/>
          <w:color w:val="auto"/>
        </w:rPr>
      </w:pPr>
      <w:r>
        <w:rPr>
          <w:rFonts w:ascii="Times New Roman" w:cs="Times New Roman" w:eastAsia="Times New Roman" w:hAnsi="Times New Roman"/>
          <w:sz w:val="14"/>
          <w:szCs w:val="14"/>
          <w:color w:val="auto"/>
        </w:rPr>
        <w:t>We have also developed two pre-clinical candidates: X4P-003, a second-generation CXCR4 antagonist designed to have enhanced properties relative to mavorixafor, potentially enabling broader opportunities in CXCR4-dependent disorders and primary immunodeficiencies; and X4P-002, a CXCR4 antagonist with a unique distribution profile and a demonstrated ability to cross the blood-brain barrier.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4688840" cy="2014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8884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Programs only being advanced through partnership</w:t>
      </w:r>
    </w:p>
    <w:p>
      <w:pPr>
        <w:spacing w:after="0" w:line="17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Following our July 2022 announced strategic re-prioritization, we are now advancing mavorixafor solely in chronic neutropenic disorder indications, including WHIM syndrome, while pausing our pre-clinical programs and only progressing our oncology programs upon completion of strategic partnership(s).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WHIM Syndrome</w:t>
      </w:r>
    </w:p>
    <w:p>
      <w:pPr>
        <w:spacing w:after="0" w:line="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4"/>
          <w:szCs w:val="14"/>
          <w:color w:val="auto"/>
        </w:rPr>
        <w:t>WHIM syndrome is both a rare combined immunodeficiency and a congenital neutropenic disorder in which the body’s immune system does not function properly and has trouble fighting infections. In many patients, WHIM is caused by “gain of function” variations in the single gene that encodes for the CXCR4 receptor. In healthy individuals, the CXCR4 receptor is typically internalized into the cell after CXCL12 binds to it, enabling the receptor to be appropriately “recycled” and the signaling to be diminished. In most WHIM patients, however, a genetic variation in the receptor gene prevents the post-binding internalization (“normal recycling”) of the receptor. As a result, the CXCR4 receptor is maintained on the surface of the cell and is exposed to the ligand, which creates a perpetual “on” signal and retention of white blood cells in the bone marrow where they are produced, leading to the chronic peripheral neutropenia, lymphopenia, and monocytopenia that are the clinical hallmarks of WHIM syndrome.</w:t>
      </w:r>
    </w:p>
    <w:p>
      <w:pPr>
        <w:spacing w:after="0" w:line="16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Genetic testing is typically used to diagnose WHIM syndrome to confirm the presence of a genetic variation in the CXCR4 receptor. The diagnosis of WHIM syndrome may occur at any age: about one-half of reported patients are diagnosed as children, primarily before of at the age of 18 years, with the other half diagnosed as adults, mostly between 18 and 40 years of age.</w:t>
      </w:r>
    </w:p>
    <w:p>
      <w:pPr>
        <w:spacing w:after="0" w:line="15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 xml:space="preserve">WHIM syndrome is named for its four common clinical findings, although not all patients experience all symptoms, and not all symptoms are required for a diagnosis: </w:t>
      </w: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4"/>
          <w:szCs w:val="14"/>
          <w:color w:val="auto"/>
        </w:rPr>
        <w:t xml:space="preserve">arts, related to infection with the Human Papilloma Virus (HPV), </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4"/>
          <w:szCs w:val="14"/>
          <w:color w:val="auto"/>
        </w:rPr>
        <w:t xml:space="preserve">ypogammaglobulinemia, a condition of low immunoglobulin (“IG”) levels, </w:t>
      </w: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4"/>
          <w:szCs w:val="14"/>
          <w:color w:val="auto"/>
        </w:rPr>
        <w:t xml:space="preserve">nfections, including both bacterial and fungal infections, and </w:t>
      </w: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14"/>
          <w:szCs w:val="14"/>
          <w:color w:val="auto"/>
        </w:rPr>
        <w:t>yelokathexis, a hyper-dense population of immune cells in the bone marrow. These conditions reduce the body’s ability to achieve a healthy immune response. Approximately 30-40% of people with WHIM syndrome develop HPV-associated cancers as they age.</w:t>
      </w:r>
    </w:p>
    <w:p>
      <w:pPr>
        <w:spacing w:after="0" w:line="164"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14"/>
          <w:szCs w:val="14"/>
          <w:color w:val="auto"/>
        </w:rPr>
        <w:t>The incidence and prevalence of WHIM syndrome are not well established. We believe that this is due to the relatively recent elucidation of the genetics underlying WHIM syndrome, lack of universal or accessible genetic testing, and limited medical education and awareness of the disease, which is in part driven by the lack of available disease-modifying treatments. Based on a preliminary U.S market research study sponsored by us and conducted by a third-party research firm, we believe that the prevalence of WHIM syndrome worldwide is significantly higher than previous registries suggest.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6" w:name="page7"/>
    <w:bookmarkEnd w:id="6"/>
    <w:p>
      <w:pPr>
        <w:ind w:left="520" w:right="180" w:hanging="260"/>
        <w:spacing w:after="0" w:line="24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study solicited input from community-based physicians of different specialties, including physicians focused on non-malignant hematology, immunology, dermatology, pulmonology, and infectious diseases, who are known to manage and/or treat patients with WHIM syndrome.</w:t>
      </w:r>
    </w:p>
    <w:p>
      <w:pPr>
        <w:ind w:left="520" w:right="40" w:hanging="260"/>
        <w:spacing w:after="0" w:line="24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212 physicians across these specialties identified to participate in this study reported more than 1,700 patients in the United States with genetically confirmed or highly probable WHIM syndrome.</w:t>
      </w:r>
    </w:p>
    <w:p>
      <w:pPr>
        <w:spacing w:after="0" w:line="162" w:lineRule="exact"/>
        <w:rPr>
          <w:sz w:val="20"/>
          <w:szCs w:val="20"/>
          <w:color w:val="auto"/>
        </w:rPr>
      </w:pPr>
    </w:p>
    <w:p>
      <w:pPr>
        <w:jc w:val="both"/>
        <w:ind w:right="220"/>
        <w:spacing w:after="0" w:line="246" w:lineRule="auto"/>
        <w:rPr>
          <w:sz w:val="20"/>
          <w:szCs w:val="20"/>
          <w:color w:val="auto"/>
        </w:rPr>
      </w:pPr>
      <w:r>
        <w:rPr>
          <w:rFonts w:ascii="Times New Roman" w:cs="Times New Roman" w:eastAsia="Times New Roman" w:hAnsi="Times New Roman"/>
          <w:sz w:val="14"/>
          <w:szCs w:val="14"/>
          <w:color w:val="auto"/>
        </w:rPr>
        <w:t>In addition, we have also completed a study using artificial intelligence, interrogating a database of approximately 300 million American lives that included up to 10 years of insurance claims on diagnoses, drug treatments, procedures, and treatment pathways. This study suggests that there may be as many as 3,700 WHIM patients in the United States based on the WHIM-like phenotypes described.</w:t>
      </w:r>
    </w:p>
    <w:p>
      <w:pPr>
        <w:spacing w:after="0" w:line="16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4"/>
          <w:szCs w:val="14"/>
          <w:color w:val="auto"/>
        </w:rPr>
        <w:t>The first CXCR4 genetic variation determined to cause WHIM syndrome was identified in 2003. Since then, several CXCR4 variations have been identified as “gain of function” variations causing WHIM syndrome. Our research has subsequently identified a number of new genetic variations, among them a new missense variation, called D84H, that is relatively frequent in the general population. The D84H mutation is the first mutation to be identified outside of the C-terminus of the CXCR4 receptor showing gain-of-function signaling and WHIM disease phenotype. We believe that the frequency of the D84H variation, as derived from broad population genomic databases, further supports our current WHIM prevalence estimate. Our research into additional WHIM-causing genetic variations is ongoing and we are continuing to identify novel pathogenic variants, further expanding our understanding of the clinical phenotype of people with WHIM syndrome.</w:t>
      </w:r>
    </w:p>
    <w:p>
      <w:pPr>
        <w:spacing w:after="0" w:line="16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4"/>
          <w:szCs w:val="14"/>
          <w:color w:val="auto"/>
        </w:rPr>
        <w:t>In partnership with Invitae, a genetic information company, we sponsor a no-charge genetic testing and counseling program called PATH4WARD for individuals who may carry a genetic variation known to be associated with chronic neutropenia or primary immunodeficiency disorders (“PIDs”), including WHIM syndrome. The genetic panel looks at more than 550 genes known to be associated with PIDs; to date, the program has proven helpful not only in identifying WHIM patients, but also providing a better understanding of novel genetic variants causing PIDs and assisting participant enrollment in X4-sponsored clinical trials.</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We plan to continue to increase awareness of WHIM syndrome among patients, physicians, and their support systems through our partnerships with key patient foundations and registries, including the Jeffrey Modell Foundation, University of Washington, Immune Deficiency Foundation, and Hopitaux Universitaires Est Parisien (Trousseau La Roche-Guyon).</w:t>
      </w:r>
    </w:p>
    <w:p>
      <w:pPr>
        <w:spacing w:after="0" w:line="157"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4"/>
          <w:szCs w:val="14"/>
          <w:color w:val="auto"/>
        </w:rPr>
        <w:t>We have also deployed of a field force of Medical Science Liaisons (“MSLs”) and Patient Diagnostic Liaisons (“PDLs”) in the United States to further drive education and awareness of WHIM syndrome and to assist in identifying WHIM patients.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Limited Current Treatment Landscape for WHIM Syndrome</w:t>
      </w:r>
    </w:p>
    <w:p>
      <w:pPr>
        <w:spacing w:after="0" w:line="16"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4"/>
          <w:szCs w:val="14"/>
          <w:color w:val="auto"/>
        </w:rPr>
        <w:t>Currently, there are no approved therapies for the treatment of WHIM syndrome and care is limited to the treatment of the syndrome’s different symptoms, mainly the prevention and management of infections. None of these symptomatic treatments, however, address the underlying cause of this multi-faceted disease. Current symptoms and their treatment limitations are as follows:</w:t>
      </w:r>
    </w:p>
    <w:p>
      <w:pPr>
        <w:ind w:left="520" w:hanging="260"/>
        <w:spacing w:after="0" w:line="23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Warts</w:t>
      </w:r>
      <w:r>
        <w:rPr>
          <w:rFonts w:ascii="Times New Roman" w:cs="Times New Roman" w:eastAsia="Times New Roman" w:hAnsi="Times New Roman"/>
          <w:sz w:val="14"/>
          <w:szCs w:val="14"/>
          <w:color w:val="auto"/>
        </w:rPr>
        <w:t>: The presence of warts in WHIM syndrome is driven by an underlying HPV infection. Standard treatments, such as topical therapies (for example, imiquimod and salicylic acid), cryotherapy and laser therapy, as well as more aggressive approaches, such as cauterization or surgical removal, have been ineffective in providing durable treatment of warts associated with chronic HPV infections. As WHIM patients generally have limited response to vaccines, the HPV vaccine appears to have limited effectiveness. The number, size, and severity of visible warts in WHIM patients can have a significant negative impact on the patient’s quality of life and result in social anxiety issues. Left untreated, chronic HPV-infections are also known to increase the risk of cancer.</w:t>
      </w:r>
    </w:p>
    <w:p>
      <w:pPr>
        <w:spacing w:after="0" w:line="3" w:lineRule="exact"/>
        <w:rPr>
          <w:rFonts w:ascii="Times New Roman" w:cs="Times New Roman" w:eastAsia="Times New Roman" w:hAnsi="Times New Roman"/>
          <w:sz w:val="14"/>
          <w:szCs w:val="14"/>
          <w:color w:val="auto"/>
        </w:rPr>
      </w:pPr>
    </w:p>
    <w:p>
      <w:pPr>
        <w:ind w:left="520" w:right="60" w:hanging="260"/>
        <w:spacing w:after="0" w:line="23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Hypogammaglobulinemia</w:t>
      </w:r>
      <w:r>
        <w:rPr>
          <w:rFonts w:ascii="Times New Roman" w:cs="Times New Roman" w:eastAsia="Times New Roman" w:hAnsi="Times New Roman"/>
          <w:sz w:val="14"/>
          <w:szCs w:val="14"/>
          <w:color w:val="auto"/>
        </w:rPr>
        <w:t>: Intravenous or subcutaneous IG administration, referred to as IVIG or SCIG, respectively, can be administered to patients with low IG levels. In WHIM patients, the administration of IG therapies raises IG levels, but has shown no impact on circulating white blood cells and limited or no impact on immune responses. IG treatment of patients with WHIM syndrome is based on empirical and anecdotal evidence, and there are no clinical data demonstrating the efficacy of IG treatment for WHIM syndrome. IG treatment also does not treat or protect against HPV-associated symptoms and diseases, such as warts and certain cancers. Furthermore, IG administration is costly and time consuming.</w:t>
      </w:r>
    </w:p>
    <w:p>
      <w:pPr>
        <w:ind w:left="520" w:hanging="260"/>
        <w:spacing w:after="0" w:line="23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Infections</w:t>
      </w:r>
      <w:r>
        <w:rPr>
          <w:rFonts w:ascii="Times New Roman" w:cs="Times New Roman" w:eastAsia="Times New Roman" w:hAnsi="Times New Roman"/>
          <w:sz w:val="14"/>
          <w:szCs w:val="14"/>
          <w:color w:val="auto"/>
        </w:rPr>
        <w:t>: Bacterial infections are managed with antibiotics. Acute infections usually resolve, although we are aware of reports from clinicians citing death due to pneumonia or sepsis in young WHIM patients. Importantly, even with antibiotic use, infections are known to recur more frequently and persist longer in patients with WHIM syndrome. Further, the toll of multiple, chronic infections in WHIM patients has been known to lead to devastating irreversible pathologies such as hearing loss, due to chronic ear infections and bronchiectasis, or damaged lung airways. Patients are sometimes given granulocyte-colony stimulating factor (“G-CSF”) to increase neutrophil counts, but G-CSF has demonstrated little, if any, impact on lymphopenia or the incidence of infections in WHIM patients. Side effects of G-CSF have been reported to include disabling bone pain, which can be more severe in certain age groups. Additional, less common, treatment-limiting complications of chronic G-CSF administration include myelofibrosis and leukemia.</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33" w:right="359" w:bottom="1440" w:gutter="0" w:footer="0" w:header="0"/>
        </w:sectPr>
      </w:pPr>
    </w:p>
    <w:bookmarkStart w:id="7" w:name="page8"/>
    <w:bookmarkEnd w:id="7"/>
    <w:p>
      <w:pPr>
        <w:ind w:left="520" w:right="14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Myelokathexis</w:t>
      </w:r>
      <w:r>
        <w:rPr>
          <w:rFonts w:ascii="Times New Roman" w:cs="Times New Roman" w:eastAsia="Times New Roman" w:hAnsi="Times New Roman"/>
          <w:sz w:val="14"/>
          <w:szCs w:val="14"/>
          <w:color w:val="auto"/>
        </w:rPr>
        <w:t>: G-CSF is also sometimes used to treat the myelokathexis characteristic of WHIM syndrome to try to increase the number of neutrophils outside of the bone marrow, but G-CSF has no effect on lymphocytes and other types of white blood cells.</w:t>
      </w:r>
    </w:p>
    <w:p>
      <w:pPr>
        <w:spacing w:after="0" w:line="13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4"/>
          <w:szCs w:val="14"/>
          <w:color w:val="auto"/>
        </w:rPr>
        <w:t>While the costs of managing the chronic impact of WHIM syndrome are unknown, the per-patient cost of treating primary immunodeficiencies that are similar to WHIM syndrome, based on drug costs alone, exceeds $100,000 per year in the United States for therapies such as antibiotics, IVIG, SCIG and/or G-CSF, despite the limited effectiveness of these treatments. Beyond these estimated direct costs, other costs associated with direct and indirect management of the disease, such as repeated immunization, physician visits, or hospitalizations, have not been quantified but are likely to be significant. We believe that there is a significant need for a treatment targeting the underlying excessive signaling caused by genetic variations to the CXCR4 receptor, which is the established cause of WHIM syndrome.</w:t>
      </w:r>
    </w:p>
    <w:p>
      <w:pPr>
        <w:spacing w:after="0" w:line="16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4"/>
          <w:szCs w:val="14"/>
          <w:color w:val="auto"/>
        </w:rPr>
        <w:t>Our approach to treating WHIM syndrome involves addressing the underlying cause of the disease by blocking CXCR4 signaling using mavorixafor, which has been shown to bind to the CXCR4 receptor in a manner that inhibits the receptor from being stimulated by CXCL12, enabling white blood cells to properly mature and release into the bloodstream and improving immune cell numbers and function.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Development of Mavorixafor in WHIM Syndrome</w:t>
      </w:r>
    </w:p>
    <w:p>
      <w:pPr>
        <w:spacing w:after="0" w:line="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4"/>
          <w:szCs w:val="14"/>
          <w:color w:val="auto"/>
        </w:rPr>
        <w:t>In January 2017, we initiated a Phase 2 clinical trial of mavorixafor for the treatment of people with WHIM syndrome. This trial was an open-label, dose-escalation trial in eight WHIM patients conducted at two sites in the United States and Australia pursuant to an Investigational New Drug (“IND”) application that we submitted to the U.S. Food and Drug Administration (“FDA”) in June 2016.</w:t>
      </w:r>
    </w:p>
    <w:p>
      <w:pPr>
        <w:spacing w:after="0" w:line="15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4"/>
          <w:szCs w:val="14"/>
          <w:color w:val="auto"/>
        </w:rPr>
        <w:t>The primary objective of the Phase 2 clinical trial was to determine the safety and tolerability of mavorixafor and to determine the dose of mavorixafor for exploration in a pivotal Phase 3 clinical trial. The secondary objective of the Phase 2 trial was to evaluate the potential efficacy of mavorixafor in people with WHIM syndrome by measuring biomarkers, specifically absolute neutrophil (“ANC”) and lymphocyte (“ALC”) counts, over 24-hour dosing cycles. The frequency of infections, antibiotic use, hospitalizations, severity of warts lesions, and vaccine titer levels, among other metrics, were also examined. To be included in the trial, participants must have had a confirmed genetic diagnosis of WHIM syndrome, be at least 18 years of age, and have a neutrophil count equal to or less than 400 cells per microliter or a lymphocyte count equal to or less than 650 cells per microliter.</w:t>
      </w:r>
    </w:p>
    <w:p>
      <w:pPr>
        <w:spacing w:after="0" w:line="15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In the trial, participants received escalating doses of mavorixafor starting at 50 mg once daily to up to 400 mg once daily. Participants were dose-escalated from their starting dose based on an in-hospital 24-hour measurement of ANC and ALC above or below the pre-defined target thresholds of 600 cells per microliter and 1,000 cells per microliter, respectively.</w:t>
      </w:r>
    </w:p>
    <w:p>
      <w:pPr>
        <w:spacing w:after="0" w:line="14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4"/>
          <w:szCs w:val="14"/>
          <w:color w:val="auto"/>
        </w:rPr>
        <w:t>We completed the dose-titration portion of the Phase 2 clinical trial in March 2018 and, based on the reported results, the Data Review Committee recommended the Phase 3 dose of 400 mg administered orally once daily. The choice of time above threshold for absolute neutrophil count (“TAT-ANC”), defined as the number of hours during which the absolute neutrophil count is raised above a 500 cells per microliter threshold, was selected as the primary endpoint of the Phase 3 clinical trial.</w:t>
      </w:r>
    </w:p>
    <w:p>
      <w:pPr>
        <w:spacing w:after="0" w:line="16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Following completion of the dose-titration portion of the Phase 2 clinical trial, participants were allowed to continue on study drug in a Phase 2 open-label extension trial. In June 2020, we announced the following positive data from the open-label extension portion of the Phase 2 clinical trial:</w:t>
      </w:r>
    </w:p>
    <w:p>
      <w:pPr>
        <w:ind w:left="520" w:right="60" w:hanging="260"/>
        <w:spacing w:after="0" w:line="22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Sustained, dose-dependent increases in white blood cells, ANC, and ALC were achieved; higher doses of mavorixafor were shown to increase the TAT-ANC at least 4.5-fold versus the TAT-ANC at lower doses.</w:t>
      </w:r>
    </w:p>
    <w:p>
      <w:pPr>
        <w:ind w:left="520" w:hanging="260"/>
        <w:spacing w:after="0" w:line="237"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long-term hematological improvements correlated with fewer infections and reduced numbers of cutaneous warts.</w:t>
      </w:r>
    </w:p>
    <w:p>
      <w:pPr>
        <w:ind w:left="520" w:right="220" w:hanging="260"/>
        <w:spacing w:after="0" w:line="22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yearly infection rate from 4.63 [95%CI 3.3,6.3] events in the 12 months prior to the trial, to 2.27 [95%CI 1.4, 3.5] events when treated with mavorixafor at higher doses once daily; notably, deeper reductions in yearly infection rates correlated with increased time on treatment.</w:t>
      </w:r>
    </w:p>
    <w:p>
      <w:pPr>
        <w:ind w:left="520" w:hanging="260"/>
        <w:spacing w:after="0" w:line="237"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participants with cutaneous warts on hands and/or feet at baseline achieved an average 75% reduction in the number of warts.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Mavorixafor was well tolerated for the extended duration of up to more than two years without any attributable serious adverse effects.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2021, we announced the following additional data from the Phase 2 open-label extension trial of mavorixafor in people with WHIM syndrome:</w:t>
      </w:r>
    </w:p>
    <w:p>
      <w:pPr>
        <w:spacing w:after="0" w:line="4" w:lineRule="exact"/>
        <w:rPr>
          <w:sz w:val="20"/>
          <w:szCs w:val="20"/>
          <w:color w:val="auto"/>
        </w:rPr>
      </w:pPr>
    </w:p>
    <w:p>
      <w:pPr>
        <w:ind w:left="520" w:right="260" w:hanging="260"/>
        <w:spacing w:after="0" w:line="23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Mavorixafor continued to show durable increases in neutrophils, lymphocytes, and monocytes, sustained improvements in infections and warts, and was well tolerated (median treatment duration = 148.4 weeks).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mean annualized infection rates correlated well with TAT-ANC.</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8" w:name="page9"/>
    <w:bookmarkEnd w:id="8"/>
    <w:p>
      <w:pPr>
        <w:ind w:left="520" w:right="28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Standardized participant interviews revealed that long-term treatment with mavorixafor was well tolerated and continued to demonstrate beneficial treatment effects, including decreased frequency, severity, and duration of infections and fewer hospital/doctor visits.</w:t>
      </w:r>
    </w:p>
    <w:p>
      <w:pPr>
        <w:spacing w:after="0" w:line="13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4"/>
          <w:szCs w:val="14"/>
          <w:color w:val="auto"/>
        </w:rPr>
        <w:t>In June 2019, we initiated 4WHIM, a pivotal, global, randomized, double-blind, placebo-controlled, multicenter Phase 3 clinical trial designed to evaluate the efficacy and safety of mavorixafor in people with genetically confirmed WHIM syndrome. Originally designed to enroll 18-28 patients, the trial achieved full enrollment in September 2021, with 31 participants aged 12 and older receiving either 200-400 mg mavorixafor or placebo orally once daily for 52 weeks; all participants then became eligible to receive treatment with mavorixafor in an open-label trial extension.</w:t>
      </w:r>
    </w:p>
    <w:p>
      <w:pPr>
        <w:spacing w:after="0" w:line="14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The primary endpoint of the 4WHIM trial is a clinically relevant reduction of duration of severe neutropenia as measured by the increase in TAT-ANC (500 cells per microliter) in peripheral blood. Secondary endpoints include time above threshold-absolute lymphocyte count (TAT-ALC) of ≥ 1,000 cells per microliter over a 24-hour period, a composite clinical efficacy endpoint for mavorixafor based on total infection score and total wart change score, total wart change score for mavorixafor based on central blinded, independent review of 3 target skin regions, total infection score for mavorixafor based on number and severity of infections adjudicated by a blinded, independent adjudication committee; and a number of quality-of-life measurements and other exploratory endpoints.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November 2022, we reported positive top-line results from the Phase 3 4WHIM trial:</w:t>
      </w:r>
    </w:p>
    <w:p>
      <w:pPr>
        <w:spacing w:after="0" w:line="14" w:lineRule="exact"/>
        <w:rPr>
          <w:sz w:val="20"/>
          <w:szCs w:val="20"/>
          <w:color w:val="auto"/>
        </w:rPr>
      </w:pPr>
    </w:p>
    <w:p>
      <w:pPr>
        <w:ind w:left="520" w:right="540" w:hanging="260"/>
        <w:spacing w:after="0" w:line="229"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4WHIM met its primary endpoint, with mavorixafor achieving clinical and statistical superiority over placebo (P&lt;0.0001) when measuring the length of time that participants’ ANC remained above a clinically meaningful threshold of 500 cells per microliter (severe neutropenia), over 24-hour periods at 4 time points throughout the 52-week trial.</w:t>
      </w:r>
    </w:p>
    <w:p>
      <w:pPr>
        <w:ind w:left="520" w:hanging="260"/>
        <w:spacing w:after="0" w:line="229"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4WHIM also met a key secondary endpoint, with mavorixafor achieving clinical and statistical superiority over placebo (P&lt;0.0001) when measuring the length of time that participants’ ALC remained above a clinically meaningful threshold of 1,000 cells per microliter (lymphopenia), over 24-hour periods at 4 time points throughout the 52-week trial.</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Mavorixafor was generally well tolerated in the trial, with no treatment-related serious adverse events reported and no discontinuations for safety events.</w:t>
      </w:r>
    </w:p>
    <w:p>
      <w:pPr>
        <w:spacing w:after="0" w:line="173"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4"/>
          <w:szCs w:val="14"/>
          <w:color w:val="auto"/>
        </w:rPr>
        <w:t>Additional data review and analysis of the secondary and exploratory endpoints of the 4WHIM trial are ongoing, with plans to present detailed results at a medical meeting in the second quarter of 2023. Given these positive results to date, we are targeting submission to the FDA of a New Drug Application (“NDA”) early in the second half of 2023, with the goal of obtaining approval for mavorixafor for the treatment of people in the United States, aged 12 and older, with WHIM syndrome.</w:t>
      </w:r>
    </w:p>
    <w:p>
      <w:pPr>
        <w:spacing w:after="0" w:line="16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4"/>
          <w:szCs w:val="14"/>
          <w:color w:val="auto"/>
        </w:rPr>
        <w:t>Mavorixafor has received multiple special designations from global regulatory authorities in WHIM syndrome, including Breakthrough Therapy Designation, Fast Track Designation, and Rare Pediatric Designation in the United States, and Orphan Drug Status in both the United States and European Union. In addition, upon approval of an NDA, we are eligible to receive a Priority Review Voucher (“PRV”) as a result of mavorixafor’s Rare Pediatric Designation in the United States.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Chronic Neutropenic Disorders</w:t>
      </w:r>
    </w:p>
    <w:p>
      <w:pPr>
        <w:spacing w:after="0" w:line="6"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4"/>
          <w:szCs w:val="14"/>
          <w:color w:val="auto"/>
        </w:rPr>
        <w:t>Due to its demonstrated ability to durably elevate levels of circulating white blood cells across multiple clinical trials, we believe that mavorixafor may be useful in the treatment of people with a variety of chronic neutropenic disorders.</w:t>
      </w:r>
    </w:p>
    <w:p>
      <w:pPr>
        <w:spacing w:after="0" w:line="16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Chronic neutropenia is defined as periods lasting more than three months persistently or intermittently where there are abnormally low levels of neutrophils circulating in the blood, and may be idiopathic (of unknown origin), cyclic (episodes typically occurring every three weeks), or congenital (of genetic causation). Similar to WHIM syndrome, chronic neutropenia disorders are rare blood conditions similarly characterized by increased risks of infections and cancer due to abnormally low levels of neutrophils in the body. In all cases, the CXCL12/CXCR4 pathway is the key regulator of neutrophil release from the bone marrow.</w:t>
      </w:r>
    </w:p>
    <w:p>
      <w:pPr>
        <w:spacing w:after="0" w:line="15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The incidence and prevalence of chronic neutropenic disorders are not well established. In December 2022, we presented results from what we believe was the first study examining the prevalence of chronic neutropenia disorders (including idiopathic, cyclic, and congenital neutropenia) in the United States; we believe that determining the estimated projected prevalence of chronic neutropenic disorders is a key step to understanding the extent of existing unmet medical needs in this patient population.</w:t>
      </w:r>
    </w:p>
    <w:p>
      <w:pPr>
        <w:spacing w:after="0" w:line="2" w:lineRule="exact"/>
        <w:rPr>
          <w:sz w:val="20"/>
          <w:szCs w:val="20"/>
          <w:color w:val="auto"/>
        </w:rPr>
      </w:pPr>
    </w:p>
    <w:p>
      <w:pPr>
        <w:ind w:left="520" w:right="200" w:hanging="260"/>
        <w:spacing w:after="0" w:line="23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a retrospective analysis of a large U.S. claims database, the analysis included people with a diagnosis code for neutropenia during the calendar years 2018, 2019, and 2021 (the year 2020 was excluded from this analysis owing to anticipated reduced claims during the COVID-19 pandemic).</w:t>
      </w:r>
    </w:p>
    <w:p>
      <w:pPr>
        <w:ind w:left="520" w:right="540" w:hanging="260"/>
        <w:spacing w:after="0" w:line="229"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People with a diagnostic, procedural, or product code for neutropenia resulting from secondary causes including chemotherapy, drug exposure, infection, solid organ transplantation, myelodysplastic syndrome, and end-stage renal disease within 24-month period prior to selection were excluded.</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13- to 24-month lookback period prior to index date was used to confirm chronic status.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9" w:name="page10"/>
    <w:bookmarkEnd w:id="9"/>
    <w:p>
      <w:pPr>
        <w:ind w:left="520" w:right="240" w:hanging="260"/>
        <w:spacing w:after="0" w:line="24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analysis used longitudinal prescription data and office-based claims data from an IQVIA claims database that included 93% of retail prescription claims, 77% of mail-in prescription claims, and had more than 1.5 billion office-based claims per year.</w:t>
      </w:r>
    </w:p>
    <w:p>
      <w:pPr>
        <w:ind w:left="520" w:right="400" w:hanging="260"/>
        <w:spacing w:after="0" w:line="24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retrospective analysis projected that in 2021, up to 48,000 people in the United States were living with a diagnosis of chronic neutropenia, with the most common type of chronic neutropenic disorder being idiopathic (~40,000), followed by cyclic (~5,000), and congenital (~3,000), and with the majority of affected people being female adults.</w:t>
      </w:r>
    </w:p>
    <w:p>
      <w:pPr>
        <w:spacing w:after="0" w:line="162"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4"/>
          <w:szCs w:val="14"/>
          <w:color w:val="auto"/>
        </w:rPr>
        <w:t>In 2022, we also completed an electronic medical records study to better understand the risk of serious or severe infection in people with chronic neutropenia in the United States, analyzing the medical records of 44 healthcare organizations treating approximately 66 million patients. The analysis examined patients who had experienced at least two Serious Infections Events (“SIEs”) following documentation of chronic neutropenia in each calendar year compared with those who did not have neutropenia. SIEs are defined as infections requiring hospitalization or intravenous antibiotics or that result in disability or death.</w:t>
      </w:r>
    </w:p>
    <w:p>
      <w:pPr>
        <w:spacing w:after="0" w:line="1" w:lineRule="exact"/>
        <w:rPr>
          <w:sz w:val="20"/>
          <w:szCs w:val="20"/>
          <w:color w:val="auto"/>
        </w:rPr>
      </w:pPr>
    </w:p>
    <w:p>
      <w:pPr>
        <w:ind w:left="520" w:hanging="260"/>
        <w:spacing w:after="0" w:line="23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this analysis indicated that the incidence rate of SIEs per 100,000 person days was increased for all levels of chronic neutropenia: it was two times greater for patients with any chronic neutropenia (ANC less than 1,500 cells per microliter) and four times greater for patients with severe congenital neutropenia (ANC less than 500 cells per microliter).</w:t>
      </w:r>
    </w:p>
    <w:p>
      <w:pPr>
        <w:ind w:left="520" w:hanging="260"/>
        <w:spacing w:after="0" w:line="22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serious infection increased with the worsening of neutropenia.</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25% of patients with chronic neutropenia had at least 2 SIEs in the latest calendar year examined, which was 2019.</w:t>
      </w:r>
    </w:p>
    <w:p>
      <w:pPr>
        <w:spacing w:after="0" w:line="17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People living with chronic neutropenia have few treatment options and may be treated with G-CSF, an injectable therapy approved in the United States for the treatment of severe, chronic neutropenia. G-CSF is used to stimulate the bone marrow to produce neutrophils. Side effects of G-CSF include disabling bone pain, which can be more severe in certain age groups. Additional, less common, treatment-limiting complications of chronic G-CSF administration include myelofibrosis and leukemia. In chronic neutropenia cases that are unresponsive to G-CSF, or if leukemia has developed, bone marrow transplants have been made with varying degrees of success. Bone marrow transplantation is often applied to severe neutropenia from bone marrow failure. Bone marrow transplants bring additional risks into the management of the disorders.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Development of Mavorixafor in Chronic Neutropenic Disorders</w:t>
      </w:r>
    </w:p>
    <w:p>
      <w:pPr>
        <w:spacing w:after="0" w:line="1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4"/>
          <w:szCs w:val="14"/>
          <w:color w:val="auto"/>
        </w:rPr>
        <w:t>In 2022, we conducted a proof-of-concept Phase 1b open-label, multicenter study designed to assess the safety and tolerability of oral mavorixafor, with or without injectable G-CSF, in participants with chronic neutropenic disorders, including idiopathic, cyclic, and congenital neutropenia. Participants received a single dose of 400 mg oral mavorixafor to assess the magnitude of treatment response.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September 2022, we announced positive results from the Phase 1b clinical trial:</w:t>
      </w:r>
    </w:p>
    <w:p>
      <w:pPr>
        <w:spacing w:after="0" w:line="2"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total of 25 participants were enrolled in the study.</w:t>
      </w:r>
    </w:p>
    <w:p>
      <w:pPr>
        <w:ind w:left="520" w:hanging="260"/>
        <w:spacing w:after="0" w:line="23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study participants responded to treatment with a single dose of 400 mg of mavorixafor, alone or dosed concurrently with G-CSF:</w:t>
      </w:r>
    </w:p>
    <w:p>
      <w:pPr>
        <w:ind w:left="1020" w:hanging="251"/>
        <w:spacing w:after="0" w:line="221" w:lineRule="auto"/>
        <w:tabs>
          <w:tab w:leader="none" w:pos="10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achieved a mean ANC increase at peak of &gt;3,000 cells per microliter.</w:t>
      </w:r>
    </w:p>
    <w:p>
      <w:pPr>
        <w:ind w:left="1020" w:hanging="251"/>
        <w:spacing w:after="0" w:line="237" w:lineRule="auto"/>
        <w:tabs>
          <w:tab w:leader="none" w:pos="10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responses were seen across all of the chronic neutropenic disorders studied – idiopathic, cyclic, and congenital neutropenia.</w:t>
      </w:r>
    </w:p>
    <w:p>
      <w:pPr>
        <w:ind w:left="520" w:hanging="260"/>
        <w:spacing w:after="0" w:line="23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neutropenic participants (n=14) reached normalized ANC levels (&gt;1,500 cells per microliter):</w:t>
      </w:r>
    </w:p>
    <w:p>
      <w:pPr>
        <w:ind w:left="1020" w:right="280" w:hanging="251"/>
        <w:spacing w:after="0" w:line="229" w:lineRule="auto"/>
        <w:tabs>
          <w:tab w:leader="none" w:pos="101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assessed as a monotherapy in participants with severe chronic neutropenia who were not being treated with G-CSF (n=6), a single dose of mavorixafor led to normalized ANC levels in all participants within 2 hours, with a mean ANC increase at peak of ~2,500 cells per microliter.</w:t>
      </w:r>
    </w:p>
    <w:p>
      <w:pPr>
        <w:ind w:left="1020" w:right="300" w:hanging="251"/>
        <w:spacing w:after="0" w:line="229" w:lineRule="auto"/>
        <w:tabs>
          <w:tab w:leader="none" w:pos="101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assessed in participants with moderate or severe neutropenia, despite being treated with G-CSF (n=8), 100% reached normalized ANC levels, suggesting the potential of mavorixafor to both normalize the neutrophil counts in patients with partial response to G-CSF and also to potentially enable the reduction or elimination of G-CSF dosing.</w:t>
      </w:r>
    </w:p>
    <w:p>
      <w:pPr>
        <w:ind w:left="520" w:right="260" w:hanging="260"/>
        <w:spacing w:after="0" w:line="23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assessed in participants with chronic neutropenia with normalized ANC counts on chronic G-CSF (n=11), all participants experienced a consistent and sustained increase in ANC, suggesting mavorixafor’s potential to reduce or possibly eliminate G-CSF treatment in these patients.</w:t>
      </w:r>
    </w:p>
    <w:p>
      <w:pPr>
        <w:ind w:left="520" w:right="520" w:hanging="260"/>
        <w:spacing w:after="0" w:line="235"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Mavorixafor was well tolerated in the study; all treatment-related adverse events were deemed to be low grade, consistent with previous clinical studies in WHIM syndrome, and no treatment-related serious adverse events were reported.</w:t>
      </w:r>
    </w:p>
    <w:p>
      <w:pPr>
        <w:spacing w:after="0" w:line="16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Following these positive results, an amendment to the Phase 1b clinical trial was initiated aiming to evaluate the use of daily oral mavorixafor with or without injectable G-CSF for up to 6 months in participants with chronic neutropenic disorders as a Phase 2 clinical trial. The Phase 2 trial is expected to assess the durability of ANC responses, the potential of mavorixafor to enable patients to taper down dosing with G-CSF, and to evaluate the tolerability of mavorixafor in combination with G-CSF in chronic use. Participants are now being enrolled in this Phase 2 clinical trial and we expect to provide an update on clinical results in the</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3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second or third quarter of 2023.</w:t>
      </w:r>
    </w:p>
    <w:p>
      <w:pPr>
        <w:spacing w:after="0" w:line="18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4"/>
          <w:szCs w:val="14"/>
          <w:color w:val="auto"/>
        </w:rPr>
        <w:t>Concurrent with this Phase 2 trial execution, we are advancing our plans to conduct a Phase 3 program of mavorixafor in people with certain chronic neutropenic disorders in the event the Phase 2 results are positive. We expect this trial will be a randomized, placebo-controlled trial assessing the safety and efficacy of mavorixafor, with or without concomitant G-CSF, in people with idiopathic, cyclic, or congenital neutropenia. We expect to provide more clarity on the scope and timing of this potential clinical program in the second or third quarter of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Oncology Programs</w:t>
      </w:r>
    </w:p>
    <w:p>
      <w:pPr>
        <w:spacing w:after="0" w:line="6"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4"/>
          <w:szCs w:val="14"/>
          <w:color w:val="auto"/>
        </w:rPr>
        <w:t>In previous clinical and research studies, CXCR4 antagonism has been proven to increase the maturation and mobilization of white blood cells in all those dosed, including healthy volunteers, increase circulating neutrophils, lymphocytes, and monocytes, reduce bacterial and viral infections, and reduce lymphoma burden in combination with approved oncology therapeutics.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a result of these previous studies, we conducted several clinical programs exploring the potential utility of mavorixafor in the treatment of certain cancers. Any further development of mavorixafor or other pipeline candidate(s) for any oncology indication will be subject to completion of a strategic partnership.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Mavorixafor in Waldenström's macroglobulinemia</w:t>
      </w:r>
    </w:p>
    <w:p>
      <w:pPr>
        <w:spacing w:after="0" w:line="14"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4"/>
          <w:szCs w:val="14"/>
          <w:color w:val="auto"/>
        </w:rPr>
        <w:t>Waldenström’s is a rare form of non-Hodgkin’s lymphoma and B-cell lymphoproliferative disorder most often caused by genetic variations in an immune-signaling gene called MYD88. Approximately 30-40% of people with Waldenström’s have been shown to have a second genetic variation, a somatic WHIM-like activating variation in the CXCR4 gene in the cancer cells that define this rare form of lymphoma. Patients with the CXCR4 genetic variation have higher serum immunoglobulin M (“IgM”) levels and greater incidence of symptomatic hyperviscosity. These patients also have a worse prognosis and weaker responses to treatment with Bruton tyrosine kinase (“BTK”) inhibitors.</w:t>
      </w:r>
    </w:p>
    <w:p>
      <w:pPr>
        <w:spacing w:after="0" w:line="15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4"/>
          <w:szCs w:val="14"/>
          <w:color w:val="auto"/>
        </w:rPr>
        <w:t>In December 2022, we completed a Phase 1b, open-label, multicenter, single-arm study evaluating the safety and efficacy of mavorixafor in combination with the BTK inhibitor ibrutinib in adult participants (either treatment naïve or relapsed/refractory) with Waldenström’s and confirmed MYD88 and CXCR4 genetic variations. The Phase 1b clinical trial examined intra-patient dose escalation, safety, pharmacokinetics, and pharmacodynamics of mavorixafor plus ibrutinib in participants aged 18 years or older.</w:t>
      </w:r>
    </w:p>
    <w:p>
      <w:pPr>
        <w:spacing w:after="0" w:line="147"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4"/>
          <w:szCs w:val="14"/>
          <w:color w:val="auto"/>
        </w:rPr>
        <w:t>Interim results of the clinical trial were announced in August 2022; full clinical trial results are expected to be submitted to an appropriate medical journal for publication in the future. As of June 2022:</w:t>
      </w:r>
    </w:p>
    <w:p>
      <w:pPr>
        <w:ind w:left="520" w:hanging="260"/>
        <w:spacing w:after="0" w:line="23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total of 16 participants were enrolled; all were dosed with oral, once-daily doses of ibrutinib (420 mg) and escalating doses (200 mg, 400 mg, 600 mg) of oral mavorixafor, also once daily.</w:t>
      </w:r>
    </w:p>
    <w:p>
      <w:pPr>
        <w:ind w:left="520" w:hanging="260"/>
        <w:spacing w:after="0" w:line="23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 of the 11 evaluable participants (91%) had achieved a major response (“MR”) to therapy, or a greater than 50% reduction in serum IgM from baseline:</w:t>
      </w:r>
    </w:p>
    <w:p>
      <w:pPr>
        <w:ind w:left="1020" w:hanging="251"/>
        <w:spacing w:after="0" w:line="221" w:lineRule="auto"/>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relapsed/refractory participants, 7 of 7 (100%) achieved a MR.</w:t>
      </w:r>
    </w:p>
    <w:p>
      <w:pPr>
        <w:ind w:left="1020" w:hanging="251"/>
        <w:spacing w:after="0" w:line="237" w:lineRule="auto"/>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treatment-naïve patients, 3 of 4 (75%) achieved a MR.</w:t>
      </w:r>
    </w:p>
    <w:p>
      <w:pPr>
        <w:ind w:left="520" w:hanging="260"/>
        <w:spacing w:after="0" w:line="23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mavorixafor to ibrutinib was associated with a higher MR rate at 3, 6, 9, 12, and 24 months compared to previously reported MR rates achieved with ibrutinib monotherapy.</w:t>
      </w:r>
    </w:p>
    <w:p>
      <w:pPr>
        <w:ind w:left="520" w:hanging="260"/>
        <w:spacing w:after="0" w:line="221"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patients achieved elevations in ANC, with no neutropenic events reported; patients also experienced fewer infections over time with chronic dosing.</w:t>
      </w:r>
    </w:p>
    <w:p>
      <w:pPr>
        <w:ind w:left="520" w:right="340" w:hanging="260"/>
        <w:spacing w:after="0" w:line="24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major safety signals had been identified in the trial as of the data cut-off; mavorixafor in combination with ibrutinib showed a safety profile similar to ibrutinib monotherapy (N=16, including 8 patients escalated to the 600 mg dose of mavorixafor).</w:t>
      </w:r>
    </w:p>
    <w:p>
      <w:pPr>
        <w:spacing w:after="0" w:line="16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4"/>
          <w:szCs w:val="14"/>
          <w:color w:val="auto"/>
        </w:rPr>
        <w:t>The Phase 1b clinical trial of mavorixafor in Waldenström’s macroglobulinemia trial was conducted as part of a collaboration with The Leukemia &amp; Lymphoma Society (“LLS”) to accelerate the development of mavorixafor for the treatment of Waldenström’s. Mavorixafor was selected for LLS’s Therapy Acceleration Program®, a strategic initiative where LLS builds business alliances and collaborations with biotechnology companies and academic researchers to speed the development of new therapies for blood cancers.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June 2022, mavorixafor was granted Orphan Drug Designation by the FDA for the treatment of patients with Waldenström’s macroglobulinemia, regardless of CXCR4 genetic variant status.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Mavorixafor in Immuno-Oncology Indications</w:t>
      </w:r>
    </w:p>
    <w:p>
      <w:pPr>
        <w:spacing w:after="0" w:line="14" w:lineRule="exact"/>
        <w:rPr>
          <w:sz w:val="20"/>
          <w:szCs w:val="20"/>
          <w:color w:val="auto"/>
        </w:rPr>
      </w:pPr>
    </w:p>
    <w:p>
      <w:pPr>
        <w:jc w:val="both"/>
        <w:ind w:right="100"/>
        <w:spacing w:after="0" w:line="236" w:lineRule="auto"/>
        <w:rPr>
          <w:sz w:val="20"/>
          <w:szCs w:val="20"/>
          <w:color w:val="auto"/>
        </w:rPr>
      </w:pPr>
      <w:r>
        <w:rPr>
          <w:rFonts w:ascii="Times New Roman" w:cs="Times New Roman" w:eastAsia="Times New Roman" w:hAnsi="Times New Roman"/>
          <w:sz w:val="14"/>
          <w:szCs w:val="14"/>
          <w:color w:val="auto"/>
        </w:rPr>
        <w:t>In solid tumors, the tumor micro-environment (“TME”) consists of the tumor cells and cancer associated fibroblasts (“CAFs”), each of which overproduce growth factors and chemokines to support immune-suppression and malignant cell proliferation and growth. Evidence suggests that the pro-tumor signals between tumor cells and CAFs occur, in part, through chemokine signaling, including through the over-production of CXCL12.</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11" w:name="page12"/>
    <w:bookmarkEnd w:id="11"/>
    <w:p>
      <w:pPr>
        <w:ind w:right="80"/>
        <w:spacing w:after="0" w:line="243" w:lineRule="auto"/>
        <w:rPr>
          <w:sz w:val="20"/>
          <w:szCs w:val="20"/>
          <w:color w:val="auto"/>
        </w:rPr>
      </w:pPr>
      <w:r>
        <w:rPr>
          <w:rFonts w:ascii="Times New Roman" w:cs="Times New Roman" w:eastAsia="Times New Roman" w:hAnsi="Times New Roman"/>
          <w:sz w:val="14"/>
          <w:szCs w:val="14"/>
          <w:color w:val="auto"/>
        </w:rPr>
        <w:t>The CXCL12/CXCR4 pathway has been shown to be overstimulated in more than 20 solid and blood-derived tumor types. Excessive stimulation of CXCR4 due to high concentrations of CXCL12 influences the trafficking of immune cells, including myeloid-derived suppressor cells (“MDSCs”), CD4+ regulatory T cells (“Tregs”), CD8+ T cells (“killer T cells”), and mature dendritic cells. We believe that blocking CXCR4 overstimulation can lead to improved immune-cell trafficking and increase the absolute number of CD8+ T-cells, thereby also increasing the ratio of CD8+ T-cells to Tregs in the TME, turning the TME from an immunosuppressive environment to an immunostimulatory one.</w:t>
      </w:r>
    </w:p>
    <w:p>
      <w:pPr>
        <w:spacing w:after="0" w:line="165"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4"/>
          <w:szCs w:val="14"/>
          <w:color w:val="auto"/>
        </w:rPr>
        <w:t>Previously, we completed three clinical trials in solid tumors (two in clear cell renal cell carcinoma, one in melanoma) to explore the impact of mavorixafor on relevant tumor biomarkers and clinical responses. In all studies, combination of mavorixafor with standard of care proved to be well tolerated and showed favorable impact on key immune-response biomarkers (e.g. increased proliferation of CD8+ T-cells and CD8+ T-cells to Treg ratios in the TME) and improvement in clinical metrics (response rates) vs. historical controls of single-agent standards of care.</w:t>
      </w:r>
    </w:p>
    <w:p>
      <w:pPr>
        <w:spacing w:after="0" w:line="163"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4"/>
          <w:szCs w:val="14"/>
          <w:color w:val="auto"/>
        </w:rPr>
        <w:t>Ongoing trials in triple-negative breast cancer are being undertaken by Abbisko, our strategic partner for development and commercialization in greater China. Future development and potential commercialization of mavorixafor in potential immuno-oncology indications in markets outside of greater China will be pursued only as part of additional potential strategic collaboration(s).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4"/>
          <w:szCs w:val="14"/>
          <w:color w:val="auto"/>
        </w:rPr>
        <w:t>The pharmaceutical and biotechnology industries are characterized by rapidly advancing technologies, intense competition, and a strong emphasis on proprietary products. We face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w:t>
      </w:r>
    </w:p>
    <w:p>
      <w:pPr>
        <w:spacing w:after="0" w:line="167"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4"/>
          <w:szCs w:val="14"/>
          <w:color w:val="auto"/>
        </w:rPr>
        <w:t>Many of our competitors may have significantly greater financial resources and expertise in research and development, manufacturing, preclinical testing, conducting clinical trials, obtaining regulatory approvals, and marketing approved products than we do. Other firms also compete with us in recruiting and retaining qualified scientific and management personnel and establishing clinical trial sites and patient enrollment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with us, particularly through collaborative arrangements with large and established companies.</w:t>
      </w:r>
    </w:p>
    <w:p>
      <w:pPr>
        <w:spacing w:after="0" w:line="16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Our commercial opportunities could be reduced or eliminated if our competitors develop and commercialize therapeutics that are safer, more effective, have fewer or less severe side effects, are more convenient or are less expensive than any products that we may develop. Our competitors also may obtain marketing approvals for their products more rapidly than we may obtain approval for our products, which could result in our competitors establishing a strong market position before we are able to enter the market. In addition, our ability to compete may be affected because in some cases insurers or other third-party payors, including government programs, seek to encourage the use of generic products. This may have the effect of making branded products less attractive to buyers from a cost perspective.</w:t>
      </w:r>
    </w:p>
    <w:p>
      <w:pPr>
        <w:spacing w:after="0" w:line="16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We are aware of other companies that are developing CXCR4 inhibitors that are in a similar stage of development as mavorixafor, including BioLineRx (motixafortide), Noxxon (NOXA12), Upsher-Smith, Polyphor (Balixafortide), and Glycomimetics (GMI1359). To our knowledge, there do not appear to be any competitors with programs in development for WHIM syndrome or chronic neutropenia. With respect to chronic neutropenia, filgrastim injections (human G-CSF) and two biosimilars (Zarxio and Nivestym) are FDA approved to reduce the incidence and duration of after-effects of severe neutropenia (e.g. fever‚ infections‚ oropharyngeal ulcers) in symptomatic patients with severe neutropenia.</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In Waldenström’s, there are several treatment approaches currently being developed, including targeted therapies and immunotherapies (as monotherapies and combination therapies), chemotherapy, stem cell transplantation, and cancer vaccines. To our knowledge, only mavorixafor is targeting the CXCR4 pathway. Development of a Bristol Myers’ anti-CXCR4 antibody was discontinued.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6" w:lineRule="exact"/>
        <w:rPr>
          <w:sz w:val="20"/>
          <w:szCs w:val="20"/>
          <w:color w:val="auto"/>
        </w:rPr>
      </w:pPr>
    </w:p>
    <w:p>
      <w:pPr>
        <w:ind w:right="540"/>
        <w:spacing w:after="0" w:line="247"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manufacturing facilities for the production of clinical or commercial quantities of mavorixafor or any of our other product candidates. We currently rely, and expect to continue to rely, on third parties for the manufacture of any of our product or product candidates.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4" w:right="319" w:bottom="1440" w:gutter="0" w:footer="0" w:header="0"/>
        </w:sectPr>
      </w:pPr>
    </w:p>
    <w:bookmarkStart w:id="12" w:name="page13"/>
    <w:bookmarkEnd w:id="12"/>
    <w:p>
      <w:pPr>
        <w:jc w:val="both"/>
        <w:ind w:right="20"/>
        <w:spacing w:after="0" w:line="246" w:lineRule="auto"/>
        <w:rPr>
          <w:sz w:val="20"/>
          <w:szCs w:val="20"/>
          <w:color w:val="auto"/>
        </w:rPr>
      </w:pPr>
      <w:r>
        <w:rPr>
          <w:rFonts w:ascii="Times New Roman" w:cs="Times New Roman" w:eastAsia="Times New Roman" w:hAnsi="Times New Roman"/>
          <w:sz w:val="14"/>
          <w:szCs w:val="14"/>
          <w:color w:val="auto"/>
        </w:rPr>
        <w:t>We currently have a master services agreement (“the Aptuit Agreement”) in place with Aptuit (Oxford) Ltd (“Aptuit”), pursuant to which Aptuit develops and manufactures the active pharmaceutical ingredient (“API”) for mavorixafor. The term of the Aptuit Agreement expires in February 2024 unless terminated by us and/or Aptuit. Aptuit is our sole supplier for mavorixafor drug substance and is currently manufacturing mavorixafor drug substance at a commercially relevant scale to support our ongoing and anticipated future supply needs.</w:t>
      </w:r>
    </w:p>
    <w:p>
      <w:pPr>
        <w:spacing w:after="0" w:line="163"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4"/>
          <w:szCs w:val="14"/>
          <w:color w:val="auto"/>
        </w:rPr>
        <w:t>We also have a master services agreement in place with Catalent Inc., formerly Mayne Pharma Inc. (“Catalent”), which is our sole manufacturer for the final capsule drug product formulation of mavorixafor. The term of the master services agreement with Catalent expires on September 10, 2023, and may be terminated by (1) us upon 30 days-notice to Catalent or (2) by either party following a material breach by the other party that remains uncured for 30 days.</w:t>
      </w:r>
    </w:p>
    <w:p>
      <w:pPr>
        <w:spacing w:after="0" w:line="16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We obtain the supplies of our drug products from Aptuit and Catalent pursuant to typical industry standard clinical supply agreements. We believe that both manufacturers have the capability and capacity to manufacture currently projected clinical trial supply and commercial volumes of mavorixafor. We expect to extend both of these manufacturing agreements beyond their current expiration 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6" w:lineRule="exact"/>
        <w:rPr>
          <w:sz w:val="20"/>
          <w:szCs w:val="20"/>
          <w:color w:val="auto"/>
        </w:rPr>
      </w:pPr>
    </w:p>
    <w:p>
      <w:pPr>
        <w:jc w:val="both"/>
        <w:ind w:right="300"/>
        <w:spacing w:after="0" w:line="236" w:lineRule="auto"/>
        <w:rPr>
          <w:sz w:val="20"/>
          <w:szCs w:val="20"/>
          <w:color w:val="auto"/>
        </w:rPr>
      </w:pPr>
      <w:r>
        <w:rPr>
          <w:rFonts w:ascii="Times New Roman" w:cs="Times New Roman" w:eastAsia="Times New Roman" w:hAnsi="Times New Roman"/>
          <w:sz w:val="14"/>
          <w:szCs w:val="14"/>
          <w:color w:val="auto"/>
        </w:rPr>
        <w:t>We intend to build a commercial infrastructure to support sales of any of our approved products.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License Agreements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Genzyme</w:t>
      </w:r>
    </w:p>
    <w:p>
      <w:pPr>
        <w:spacing w:after="0" w:line="1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In July 2014, we entered into a license agreement with Genzyme, a wholly owned subsidiary of Sanofi, pursuant to which we were granted an exclusive license to certain patent applications and other intellectual property owned or controlled by Genzyme related to the CXCR4 receptor to develop and commercialize products containing licensed compounds, including but not limited to mavorixafor. Genzyme has retained the non-exclusive right to conduct preclinical research involving compounds in any field, including any fields licensed to us, but has not retained rights to conduct any clinical development or commercialization of those compounds identified in the agreement in any of the fields licensed to us. We are primarily responsible for the preparation, filing, prosecution and maintenance of all patent applications and patents covering the intellectual property licensed to us under the agreement at our sole expense.</w:t>
      </w:r>
    </w:p>
    <w:p>
      <w:pPr>
        <w:spacing w:after="0" w:line="16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We are obligated to use commercially reasonable efforts to develop and commercialize licensed products for use in the field in the United States and at least one other major market country. We have the right to grant sublicenses of the licensed rights that cover mavorixafor to third parties. If we wish to grant a sublicense to any licensed product other than mavorixafor, we are obligated to first offer the sublicense to Genzyme. If Genzyme expresses written interest for the sublicense, then we will negotiate exclusively with Genzyme for a certain stated period to obtain a license to such rights, after which Genzyme shall have no further rights with respect to such licensed product and we will be free to negotiate a sublicense with respect to such licensed product with any third party.</w:t>
      </w:r>
    </w:p>
    <w:p>
      <w:pPr>
        <w:spacing w:after="0" w:line="16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4"/>
          <w:szCs w:val="14"/>
          <w:color w:val="auto"/>
        </w:rPr>
        <w:t>We are obligated to pay Genzyme milestone payments in the aggregate amount of up to $25 million, contingent upon our achievement of certain late-stage regulatory and sales milestones with respect to licensed products, and tiered royalties based on net sales of licensed products that we commercialize under the Genzyme agreement. Our obligation to pay royalties for each licensed product expires on a country-by-country basis on the latest of (i) the expiration of licensed patent rights that cover that licensed product in that country, (ii) the expiration of regulatory exclusivity in that country and (iii) ten years after the first commercial sale of such licensed product in that country. Royalty rates are subject to reduction under the agreement in specified circumstances, including in any country if we are required to obtain a license from any third party to the extent our patent rights might infringe the third party’s patent rights, if a licensed product is not covered by a valid claim in that country or if sales of generic products reach certain thresholds in that country. Sublicenses that we enter into under the Genzyme agreement, including our license agreement with Abbisko obligate us to pay Genzyme a percentage of certain upfront, maintenance fees, milestone payments and royalty payments paid to us by the sublicensee.</w:t>
      </w:r>
    </w:p>
    <w:p>
      <w:pPr>
        <w:spacing w:after="0" w:line="1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The term of the Genzyme Agreement will continue until the later of the expiration of the last to expire valid claim of the patents licensed under the agreement that cover any licensed product, the expiration of regulatory exclusivity applicable to any licensed product and 10 years from the date of first commercial sale of any licensed product. Either we or Genzyme may terminate the Genzyme Agreement in the event of the bankruptcy or uncured material breach by the other party. Genzyme may terminate the Genzyme Agreement if we or our affiliates initiate a patent challenge of the patents licensed under the agreement. We may terminate the Genzyme Agreement immediately upon notice to Genzyme if we reasonably believe that the development or commercialization of a licensed compound or product under the Genzyme agreement would result in a material safety issue for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patients.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Georgetown University</w:t>
      </w:r>
    </w:p>
    <w:p>
      <w:pPr>
        <w:spacing w:after="0" w:line="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4"/>
          <w:szCs w:val="14"/>
          <w:color w:val="auto"/>
        </w:rPr>
        <w:t>In December 2016, we entered into a license agreement with the Georgetown University (“Georgetown”) pursuant to which we obtained an exclusive, worldwide license to practice certain methods, and to make, have made, use, sell, offer for sale and import products, covered by licensed patent rights co-owned by Georgetown. The rights licensed to us are for all therapeutic, prophylactic and diagnostic uses in all disease indications in humans and animals. We have the right to grant sublicenses of the licensed rights to third parties to the extent consistent with the terms of the Georgetown agreement.</w:t>
      </w:r>
    </w:p>
    <w:p>
      <w:pPr>
        <w:spacing w:after="0" w:line="14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Under the terms of the Georgetown agreement we paid a one-time only, upfront fee of $50 thousand, and we may be required to pay milestone payments of up to an aggregate of $800 thousand related to commercial sales of a licensed product. We are responsible for all patent prosecution costs incurred with respect to the licensed patents. We are obligated under the agreement to use commercially reasonable efforts to develop and commercialize licensed product, to make licensed product reasonably available to the public, to obtain government approvals for licensed product and to market licensed product in quantities sufficient to meet the market demand.</w:t>
      </w:r>
    </w:p>
    <w:p>
      <w:pPr>
        <w:spacing w:after="0" w:line="144"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4"/>
          <w:szCs w:val="14"/>
          <w:color w:val="auto"/>
        </w:rPr>
        <w:t>The term of the Georgetown agreement will continue until the expiration of the last valid claim within the patent rights covering the licensed products. Georgetown may terminate the Georgetown agreement or convert our license to non-exclusive in the event (i) we fail to pay any amount and fail to cure such failure within 30 days after receipt of notice, (ii) we default in our obligation to obtain and maintain insurance and fail to remedy such breach within 45 days after receipt of notice, (iii) we declare insolvency or bankruptcy or (iv) we materially default in the performance of any material obligations under the Georgetown agreement which is not cured within a certain period from the date of written notice of such default. We may terminate the Georgetown agreement at any time upon at least 60 days’ written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Beth Israel Deaconess Medical Center</w:t>
      </w:r>
    </w:p>
    <w:p>
      <w:pPr>
        <w:spacing w:after="0" w:line="1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In December 2016, we entered into a license agreement with Beth Israel Deaconess Medical Center (“BIDMC”) pursuant to which we obtained an exclusive, worldwide license to make, have made, use, sell, offer for sale and import of licensed products and certain processes covered by licensed patent rights co-owned by BIDMC and a nonexclusive royalty-free right to use certain information pertaining to any invention claimed in the licensed patents that is owned by BIDMC to develop, make, have made, use, have used, sell, have sold and commercialize such licensed products and processes. The rights licensed to us are for all fields of use. We have the right to grant sublicenses of the licensed rights to third parties to the extent consistent with the terms of the BIDMC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terms of the BIDMC agreement we paid a one-time only, upfront fee of $20 thousand and we are responsible for all future patent prosecution costs.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 of the BIDMC agreement will continue until the expiration of the last valid claim within the patent rights covering the licensed product. BIDMC may terminate the agreement in the event</w:t>
      </w:r>
    </w:p>
    <w:p>
      <w:pPr>
        <w:spacing w:after="0" w:line="14" w:lineRule="exact"/>
        <w:rPr>
          <w:sz w:val="20"/>
          <w:szCs w:val="20"/>
          <w:color w:val="auto"/>
        </w:rPr>
      </w:pPr>
    </w:p>
    <w:p>
      <w:pPr>
        <w:ind w:right="40" w:firstLine="5"/>
        <w:spacing w:after="0" w:line="236" w:lineRule="auto"/>
        <w:tabs>
          <w:tab w:leader="none" w:pos="16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any amount and fail to cure such failure within 15 days after receipt of notice, (ii) the insurance coverage that we are obligated to maintain under the agreement is terminated and we fail to obtain replacement insurance within a certain period of time following notice to BIDMC, or (iii) we declare insolvency or bankruptcy. In addition, if we are in material breach of any material provisions of the BIDMC agreement and fail to remedy such breach within 60 days after receipt of notice, BIDMC may terminate the BIDMC agreement or terminate any licenses granted under the BIDMC agreement with respect to the country or countries in which such material breach has occurred. We may terminate the BIDMC agreement at any time upon at least 90 days’ written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Dana Farber Cancer Institute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November 2020, we entered into a license agreement with Dana Farber Cancer Institute (“DFCI”) pursuant to which we obtained a non-exclusive, worldwide license to use, make, have made,</w:t>
      </w:r>
    </w:p>
    <w:p>
      <w:pPr>
        <w:spacing w:after="0" w:line="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develop, market, import, distribute, sell and have sold licensed products and certain processes covered by licensed patent rights owned by DFCI. The rights licensed to us are for the therapeutic use of our CXCR4 antagonists for the treatment of Waldenström’s in combination with BTK inhibitors, including ibrutinib. We have the right to grant sublicenses of the licensed rights to third parties to the extent consistent with the terms of the DFCI agreement.</w:t>
      </w:r>
    </w:p>
    <w:p>
      <w:pPr>
        <w:spacing w:after="0" w:line="16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4"/>
          <w:szCs w:val="14"/>
          <w:color w:val="auto"/>
        </w:rPr>
        <w:t>Under the terms of the DFCI agreement we paid a one-time, upfront fee of $25 thousand and we are responsible for the reimbursement of certain future patent prosecution cost and the payment of an annual maintenance fee. We are obligated to pay DFCI milestone payments in the aggregate amount of up to approximately $32 million, contingent upon our achievement of certain regulatory and sales milestones with respect to licensed products, and a flat royalty based on net sales of licensed products that we commercialize under the DFCI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0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The term of the DFCI agreement will continue until the expiration of the last valid claim within the patent rights covering the licensed product. DFCI may terminate the DFCI agreement in the event</w:t>
      </w:r>
    </w:p>
    <w:p>
      <w:pPr>
        <w:spacing w:after="0" w:line="14" w:lineRule="exact"/>
        <w:rPr>
          <w:sz w:val="20"/>
          <w:szCs w:val="20"/>
          <w:color w:val="auto"/>
        </w:rPr>
      </w:pPr>
    </w:p>
    <w:p>
      <w:pPr>
        <w:ind w:right="220" w:firstLine="5"/>
        <w:spacing w:after="0" w:line="229" w:lineRule="auto"/>
        <w:tabs>
          <w:tab w:leader="none" w:pos="16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any amount and fail to cure such failure within 30 days after receipt of notice, (ii) we cease to carry on our business with respect to the licensed products or process, (iii) the insurance coverage that we are obligated to maintain under the DCFI agreement is terminated and we fail to obtain replacement insurance within a certain period of time following notice to DFCI,</w:t>
      </w:r>
    </w:p>
    <w:p>
      <w:pPr>
        <w:ind w:right="100" w:firstLine="5"/>
        <w:spacing w:after="0" w:line="234" w:lineRule="auto"/>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comply with certain diligence obligations and cure any such default within 60 days after receipt of written notice, (v) we have granted a sublicense without notifying DFCI or on terms inconsistent with the terms required of sublicenses under the DCFI agreement, (vi) an officer of our company, an affiliate or sublicensee is convicted of a felony relating to the manufacture, use, sale or importation of a licensed product, (vii) we or any of our affiliates, sublicensees or sublicensees’ affiliates initiate a patent challenge of the patents licensed under the DFCI agreement or assists others in doing so or (viii) we declare insolvency or bankruptcy. In addition, if we are in material breach of any material obligations under the DFCI agreement and fail to remedy such breach within 90 days after receipt of notice, DFCI may terminate the DFCI agreement or terminate any licenses granted under the agreement. We may terminate the DFCI agreement at any time upon at least 90 days’ written notice.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Abbisko Agreement</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In July 2019, we entered into a license agreement with Abbisko. Under the terms of the agreement, we granted Abbisko the exclusive right to develop, manufacture and commercialize mavorixafor in mainland China, Taiwan, Hong Kong and Macau. The agreement provides Abbisko with the exclusive rights in this territory to develop and commercialize mavorixafor in combination with checkpoint inhibitors or other agents in oncology indications. Pancreatic cancer, ovarian cancer and triple negative breast cancer will be explored initially. We retain the full rest-of-world rights to develop and commercialize mavorixafor outside of Greater China for all indications and the ability to utilize data generated pursuant to the Abbisko collaboration for rest-of-world development. In addition, Abbisko has the right of first refusal if we determine to pursue additional products in the Abbisko Territory, as defined in the agreement. We entered into a separate agreement in April 2020 whereby we will provide Abbisko with a clinical supply and, if the product is commercialized in the territory licensed by Abbisko, we intend to enter into a commercial supply of the licensed compound.</w:t>
      </w:r>
    </w:p>
    <w:p>
      <w:pPr>
        <w:spacing w:after="0" w:line="2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Pursuant to the agreement with Abbisko, upon the closing of a qualified financing of Abbisko, as defined in the agreement, which occurred in March 2020, Abbisko made a one-time, non-refundable, non-creditable financial milestone payment of $3 million to us. We are also eligible to receive potential development, regulatory and commercial milestone payments of up to $214 million, which will vary based on the ultimate sales, if any, of the approved licensed products. Upon commercialization of mavorixafor in the Abbisko Territory, we are eligible to receive a tiered royalty, with a percentage range in the low double-digits, on net sales of approved licensed products. Abbisko is obligated to use commercially reasonable efforts to develop and commercialize mavorixafor in the Abbisko Territory. Abbisko has responsibility for all activities and costs associated with the further development, manufacture and commercialization of mavorixafor in the Abbisko Territory.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4"/>
          <w:szCs w:val="14"/>
          <w:color w:val="auto"/>
        </w:rPr>
        <w:t>Our ability to commercialize our product candidates depends in large part on our ability to obtain and maintain intellectual property protection for our product candidates, including mavorixafor, and our preclinical compounds and core technologies. Our policy is to seek to protect our intellectual property position by, among other methods, filing U.S. and foreign patent applications related to the technology, inventions and improvements that are important to the development and implementation of our business strategy. We also rely on trade secrets, know-how and continuing technological innovation to develop and maintain our proprietary position.</w:t>
      </w:r>
    </w:p>
    <w:p>
      <w:pPr>
        <w:spacing w:after="0" w:line="14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We file patent applications directed to our product candidates, preclinical compounds and related technologies to establish intellectual property positions on these compounds and their uses in disease. As of December 31, 2022, we owned or exclusively licensed 18 issued U.S. patents, 14 pending U.S. non-provisional patent applications, eight pending U.S. provisional patent application, and approximately 175 PCT and foreign patents and patent applications in the following foreign jurisdictions: Belgium, Brazil, Canada, China, European Patent Office, France, Germany, Great Britain, Hong Kong, India, Ireland, Italy, Israel, Japan, Lichtenstein, Mexico, Netherlands, New Zealand, Singapore, South Africa, Spain, Sweden and Switzerland.</w:t>
      </w:r>
    </w:p>
    <w:p>
      <w:pPr>
        <w:spacing w:after="0" w:line="13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As of December 31, 2022, our in-licensed intellectual property portfolio for mavorixafor included three issued U.S. patents and one pending U.S. patent application directed to mavorixafor, including one issued U.S. patent with claims directed to a crystalline salt form of mavorixafor, one issued U.S. patent directed to pharmaceutical compositions of mavorixafor in unit dosage form, and one issued U.S. patents directed to methods of making mavorixafor and key intermediates. These in-licensed patents are expected to expire between 2024 and 2027. We also had four issued U.S. patents directed to compositions and methods of making chemical compounds related to the X4P-001 program. Approximately 61 corresponding foreign patents directed to compositions of matter and related chemical compounds as well as methods of making and methods of use were issued or pending. All of the above patents and patent applications were exclusively licensed to us pursuant to the terms of the Genzyme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4" w:right="319" w:bottom="1440" w:gutter="0" w:footer="0" w:header="0"/>
        </w:sectPr>
      </w:pPr>
    </w:p>
    <w:bookmarkStart w:id="15" w:name="page16"/>
    <w:bookmarkEnd w:id="15"/>
    <w:p>
      <w:pPr>
        <w:spacing w:after="0" w:line="238" w:lineRule="auto"/>
        <w:rPr>
          <w:sz w:val="20"/>
          <w:szCs w:val="20"/>
          <w:color w:val="auto"/>
        </w:rPr>
      </w:pPr>
      <w:r>
        <w:rPr>
          <w:rFonts w:ascii="Times New Roman" w:cs="Times New Roman" w:eastAsia="Times New Roman" w:hAnsi="Times New Roman"/>
          <w:sz w:val="14"/>
          <w:szCs w:val="14"/>
          <w:color w:val="auto"/>
        </w:rPr>
        <w:t>Additionally, we have filed our own patent applications with respect to the mavorixafor and X4P-002 product candidates. Some of these patent applications are co-owned with Genzyme, BIDMC or Georgetown, with their rights exclusively licensed to us. As of December 31, 2022, our independently generated intellectual property portfolio included seven granted U.S. patents, ten pending U.S. non-provisional patent applications, four pending U.S. provisional patent applications, and approximately 72 pending PCT and foreign patent applications related to our mavorixafor clinical programs in cancer and primary immunodeficiencies. In addition, we have four granted U.S. patents, four pending U.S. non-provisional patent applications, four pending provisional applications and approximately 38 pending PCT and foreign patent applications related to our preclinical compounds and X4P-002 in glioblastoma. Patents issuing from these applications, if any, are expected to expire between 2036 and 2043.</w:t>
      </w:r>
    </w:p>
    <w:p>
      <w:pPr>
        <w:spacing w:after="0" w:line="1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The term of individual patents depends upon the legal term of the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 Patent and Trademark Office, (the “USPTO”), in examining and granting a patent, or may be shortened if a patent is terminally disclaimed over an earlier filed patent. The term of a U.S. patent that covers a drug or biological product may also be eligible for patent term extension when approval from the FDA is granted, provided statutory and regulatory requirements are met. In the future, if our product candidates receive approval from the FDA or foreign regulatory authorities, we expect to apply for patent term extensions on issued patents covering those products, depending upon the length of the clinical trials for each drug and other factors. There can be no assurance that any of our pending patent applications will issue or that we will benefit from any patent term extension or other favorable adjustment to the term of any of our patents.</w:t>
      </w:r>
    </w:p>
    <w:p>
      <w:pPr>
        <w:spacing w:after="0" w:line="1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with other biotechnology and pharmaceutical companies, our ability to maintain and solidify our proprietary and intellectual property position for our product candidates, including mavorixafor, and our preclinical compounds, and our core technologies will depend on our success in obtaining effective patent claims and enforcing those claims if granted. However, patent applications that we may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prior to March 16, 2013, in the United States, patent applications were subject to a “first to invent” rule of law. Applications filed after March 16, 2013 (except for certain applications claiming the benefit of earlier-filed applications) are subject to a “first to file” rule of law.</w:t>
      </w:r>
    </w:p>
    <w:p>
      <w:pPr>
        <w:spacing w:after="0" w:line="146"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4"/>
          <w:szCs w:val="14"/>
          <w:color w:val="auto"/>
        </w:rPr>
        <w:t>Discoveries reported in the scientific literature often lag the actual discoveries, and patent applications in the United States and other jurisdictions are typically not published until 18 months after filing, or in some cases not at all. We cannot be certain that any existing or future application will be subject to the “first to file” or “first to invent” rule of law, that we were the first to make the inventions claimed in our existing patents or pending patent applications subject to the prior laws, or that we were the first to file for patent protection of such inventions subject to the new laws. If third parties prepare and file patent applications in the United States that also claim technology we have claimed in our patents or patent applications, we may have to participate in interference proceedings in the USPTO to determine priority of invention, which could result in substantial costs to us, even if the eventual outcome is favorable to us.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reducing any advantage of any such patent.</w:t>
      </w:r>
    </w:p>
    <w:p>
      <w:pPr>
        <w:spacing w:after="0" w:line="13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In addition to patents, we rely upon unpatented trade secrets, know-how, and continuing technological innovation to develop and maintain our competitive position. We seek to protect our proprietary information, in part, by using confidentiality agreements with our collaborators, scientific advisors, employees and consultants, and invention assignment agreements with our employees. We also have agreements requiring assignment of inventions with selected consultants, scientific advisors and collaborators. The confidentiality agreements are designed to protect our proprietary information and, in the case of agreements or clauses requiring invention assignment, to grant us ownership of technologies that are developed under those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Product Approval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Approval Process</w:t>
      </w:r>
    </w:p>
    <w:p>
      <w:pPr>
        <w:spacing w:after="0" w:line="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4"/>
          <w:szCs w:val="14"/>
          <w:color w:val="auto"/>
        </w:rPr>
        <w:t>In the United States, pharmaceutical products are subject to extensive regulation by the FDA. The Federal Food, Drug, and Cosmetic Act,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imposition of clinical holds, refusal by the FDA to approve pending NDAs, warning letters, product recalls, product seizures, total or partial suspension of production or distribution, injunctions, fines, refusals of government contracts, restitution, disgorgement, civil penalties and criminal prosecution.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16" w:name="page17"/>
    <w:bookmarkEnd w:id="16"/>
    <w:p>
      <w:pPr>
        <w:ind w:right="40"/>
        <w:spacing w:after="0" w:line="241" w:lineRule="auto"/>
        <w:rPr>
          <w:sz w:val="20"/>
          <w:szCs w:val="20"/>
          <w:color w:val="auto"/>
        </w:rPr>
      </w:pPr>
      <w:r>
        <w:rPr>
          <w:rFonts w:ascii="Times New Roman" w:cs="Times New Roman" w:eastAsia="Times New Roman" w:hAnsi="Times New Roman"/>
          <w:sz w:val="14"/>
          <w:szCs w:val="14"/>
          <w:color w:val="auto"/>
        </w:rPr>
        <w:t>Pharmaceutical product development in the United States typically involves preclinical or other nonclinical laboratory and animal tests and the submission to the FDA of an IND, which must become effective before clinical testing may commence. For commercial approval, the sponsor must submit adequate tests by all methods reasonably applicable to show that the drug is safe for use under the conditions prescribed, recommended or suggested in the proposed labeling. The sponsor must also submit substantial evidence, generally consisting of adequate, well-controlled clinical trials to establish that the drug will have the effect it purports or is represented to have under the conditions of use prescribed, recommended or suggested in the proposed labeling. In certain cases, the FDA may determine that a drug is effective based on one clinical study plus confirmatory evidence.</w:t>
      </w:r>
    </w:p>
    <w:p>
      <w:pPr>
        <w:spacing w:after="0" w:line="13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Nonclinical tests include laboratory evaluation of product chemistry, formulation and toxicity, as well as animal studies to assess the characteristics and potential safety and efficacy of the product. The conduct of the nonclinical tests must comply with federal requirements, including the FDA’s good laboratory practices regulations and the U.S. Department of Agriculture’s (“USDA’s”), regulations implementing the Animal Welfare Act. The results of nonclinical testing are submitted to the FDA as part of an IND along with other information, including information about product chemistry, manufacturing and controls, and a proposed clinical trial protocol. Long-term nonclinical tests, such as animal studies of reproductive toxicity and carcinogenicity, may continue after the IND is submitted.</w:t>
      </w:r>
    </w:p>
    <w:p>
      <w:pPr>
        <w:spacing w:after="0" w:line="14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4"/>
          <w:szCs w:val="14"/>
          <w:color w:val="auto"/>
        </w:rPr>
        <w:t>A 30-day waiting period after the submission of each IND is required prior to the commencement of clinical testing in humans. If the FDA has not imposed a clinical hold on the IND or otherwise commented or questioned the IND within this 30-day period, the clinical trial proposed in the IND may begin.</w:t>
      </w:r>
    </w:p>
    <w:p>
      <w:pPr>
        <w:spacing w:after="0" w:line="13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and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4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The FDA may order the temporary, or permanent, discontinuation of a clinical trial at any time or impose other sanctions if it believes that the clinical trial either is not being conducted in accordance with the FDA requirements or presents an unacceptable risk to the clinical trial patients. The trial protocol and informed consent information for patients in clinical trials must also be submitted to an institutional review board (“IRB”) at each site where a trial will be conducted for approval. An IRB may also require the clinical trial at the site to be halted, either temporarily or permanently, for failure to comply with the IRB’s requirements or may impose other conditions.</w:t>
      </w:r>
    </w:p>
    <w:p>
      <w:pPr>
        <w:spacing w:after="0" w:line="14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Clinical trials to support NDAs for marketing approval are typically conducted in three sequential phases, but the phases may overlap. In general, in Phase 1, the initial introduction of the drug into healthy human volunteers or, in some cases,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The FDA may, however, determine that a drug is effective based on one clinical trial plus confirmatory evidence. In some cases, the FDA may require post-market studies, known as Phase 4 studies, to be conducted as a condition of approval to gather additional information on the drug’s effect in various populations and any side effects associated with long-term use. Depending on the risks posed by the drugs, other post-market requirements may be imposed.</w:t>
      </w:r>
    </w:p>
    <w:p>
      <w:pPr>
        <w:spacing w:after="0" w:line="1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Under federal law, the submission of most NDAs is additionally subject to a substantial application user fee, subject to certain exceptions and waivers, such as for orphan-designated drugs.</w:t>
      </w:r>
    </w:p>
    <w:p>
      <w:pPr>
        <w:spacing w:after="0" w:line="14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4"/>
          <w:szCs w:val="14"/>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Under the performance goals established pursuant to the Prescription Drug User Fee Act the FDA aims to complete review of 90% of standard (non-priority) NDAs within 10 months filing and within six months for priority NDAs.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17" w:name="page18"/>
    <w:bookmarkEnd w:id="17"/>
    <w:p>
      <w:pPr>
        <w:ind w:right="40"/>
        <w:spacing w:after="0" w:line="241" w:lineRule="auto"/>
        <w:rPr>
          <w:sz w:val="20"/>
          <w:szCs w:val="20"/>
          <w:color w:val="auto"/>
        </w:rPr>
      </w:pPr>
      <w:r>
        <w:rPr>
          <w:rFonts w:ascii="Times New Roman" w:cs="Times New Roman" w:eastAsia="Times New Roman" w:hAnsi="Times New Roman"/>
          <w:sz w:val="14"/>
          <w:szCs w:val="14"/>
          <w:color w:val="auto"/>
        </w:rPr>
        <w:t>The FDA may also refer applications for novel drug products, or drug products that present difficult questions of safety or efficacy, to an advisory committee, which is typically a panel that includes clinicians and other experts, for review, evaluation and a recommendation as to whether the application should be approved. The FDA is not bound by the recommendation of an advisory committee, but it generally follows such recommendations. Before approving an NDA, the FDA will typically inspect one or more clinical sites to assure compliance with GCP. Additionally, the FDA will inspect the facility or the facilities at which the drug is manufactured. The FDA will not approve the product unless compliance with current GMP is satisfactory and the NDA contains data that provide substantial evidence that the drug is safe and effective in the indication studied.</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approval letter authorizes commercial marketing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Hatch-Waxman Act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Orange Book Listing</w:t>
      </w:r>
    </w:p>
    <w:p>
      <w:pPr>
        <w:spacing w:after="0" w:line="1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through bioequivalence testing to be bioequivalent to the listed drug. Other than the requirement for bioequivalence testing, ANDA applicants are not required to conduct, or submit results of, pre-clinical or clinical tests to prove the safety or effectiveness of their drug product. Drugs approved in this way are considered to be therapeutically equivalent to the listed drug, are commonly referred to as “generic equivalents” to the listed drug, and can often be substituted by pharmacists under prescriptions written for the original listed drug in accordance with state law.</w:t>
      </w:r>
    </w:p>
    <w:p>
      <w:pPr>
        <w:spacing w:after="0" w:line="14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w:t>
      </w:r>
    </w:p>
    <w:p>
      <w:pPr>
        <w:ind w:right="20" w:firstLine="5"/>
        <w:spacing w:after="0" w:line="247" w:lineRule="auto"/>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listed patent is invalid or will not be infringed by the new product. The ANDA applicant may also elect to submit a section viii statement, certifying that its proposed ANDA labeling does not contain (or carves out) any language regarding the patented method-of-use, rather than certify to a listed method-of-use patent.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the applicant does not challenge the listed patents, the ANDA application will not be approved until all the listed patents claiming the referenced product have expired.</w:t>
      </w:r>
    </w:p>
    <w:p>
      <w:pPr>
        <w:spacing w:after="0" w:line="15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ANDA application also will not be approved until any applicable non-patent exclusivity listed in the Orange Book for the referenced product has expired.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Exclusivity</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02" w:right="339" w:bottom="1440" w:gutter="0" w:footer="0" w:header="0"/>
        </w:sectPr>
      </w:pPr>
    </w:p>
    <w:bookmarkStart w:id="18" w:name="page19"/>
    <w:bookmarkEnd w:id="18"/>
    <w:p>
      <w:pPr>
        <w:ind w:right="20"/>
        <w:spacing w:after="0" w:line="243" w:lineRule="auto"/>
        <w:rPr>
          <w:sz w:val="20"/>
          <w:szCs w:val="20"/>
          <w:color w:val="auto"/>
        </w:rPr>
      </w:pPr>
      <w:r>
        <w:rPr>
          <w:rFonts w:ascii="Times New Roman" w:cs="Times New Roman" w:eastAsia="Times New Roman" w:hAnsi="Times New Roman"/>
          <w:sz w:val="14"/>
          <w:szCs w:val="14"/>
          <w:color w:val="auto"/>
        </w:rPr>
        <w:t>Upon NDA approval of a new chemical entity, or NCE, which is a drug that contains no active moiety that has been approved by the FDA in any other NDA, that drug receives five years of marketing exclusivity during which time the FDA cannot receive any ANDA or 505(b)(2) application seeking approval of a drug that references a version of the NCE drug. Certain changes to a drug, such as the addition of a new indication to the package insert, are associated with a three-year period of exclusivity during which the FDA cannot approve an ANDA or 505(b)(2) application that includes the change.</w:t>
      </w:r>
    </w:p>
    <w:p>
      <w:pPr>
        <w:spacing w:after="0" w:line="14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4"/>
          <w:szCs w:val="14"/>
          <w:color w:val="auto"/>
        </w:rPr>
        <w:t>An ANDA or 505(b)(2) application may be submitted one year before NCE exclusivity expires if a Paragraph IV certification is filed. If there is no listed patent in the Orange Book, there may not be a Paragraph IV certification and thus no ANDA or 505(b)(2) application may be filed before the expiration of the exclusivity period.</w:t>
      </w:r>
    </w:p>
    <w:p>
      <w:pPr>
        <w:spacing w:after="0" w:line="135"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Five-year and three-year exclusivities do not preclude FDA approval of a 505(b)(1) application for a duplicate version of the drug during the period of exclusivity, provided that the 505(b)(1) applicant conducts or obtains a right of reference to all of the preclinical studies and adequate and well controlled clinical trials necessary to demonstrate safety and effectiveness.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Term Extension</w:t>
      </w:r>
    </w:p>
    <w:p>
      <w:pPr>
        <w:spacing w:after="0" w:line="16"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14"/>
          <w:szCs w:val="14"/>
          <w:color w:val="auto"/>
        </w:rPr>
        <w:t>After NDA approval, owners of relevant drug patents may apply for up to a five-year patent extension. The allowable patent term extension is calculated as half of the drug’s testing phase—the time between IND submission and NDA submission—and all of the review phase—the time between NDA submission and approval up to a maximum of five years. The time can be shortened if the FDA determines that the applicant did not pursue approval with due diligence. The total patent term after the extension may not exceed 14 years.</w:t>
      </w:r>
    </w:p>
    <w:p>
      <w:pPr>
        <w:spacing w:after="0" w:line="146"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14"/>
          <w:szCs w:val="14"/>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and Promotion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an NDA is approved, a product will be subject to certain post-approval requirements. For instance, the FDA closely regulates the post-approval marketing and promotion of drugs.</w:t>
      </w:r>
    </w:p>
    <w:p>
      <w:pPr>
        <w:spacing w:after="0" w:line="141"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4"/>
          <w:szCs w:val="14"/>
          <w:color w:val="auto"/>
        </w:rPr>
        <w:t>Drugs may be marketed only for the approved indications and in accordance with the provisions of the approved labeling.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Event Reporting and GMP Compliance</w:t>
      </w:r>
    </w:p>
    <w:p>
      <w:pPr>
        <w:spacing w:after="0" w:line="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color w:val="auto"/>
        </w:rPr>
        <w:t>Adverse event reporting and submission of periodic reports is required following FDA approval of an NDA. The FDA also may require post-marketing testing, known as Phase 4 testing, require a REMS special communications regarding the safety of the drug or heightened surveillance to monitor the effects of an approved product, or may place conditions on an approval that could restrict the distribution or use of the product. In addition, quality control, drug manufacture, packaging, and labeling procedures must continue to conform to 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GMP. Accordingly, manufacturers must continue to expend time, money and effort in the areas of production and quality control to maintain compliance with 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Pediatric Exclusivity and Pediatric Use</w:t>
      </w:r>
    </w:p>
    <w:p>
      <w:pPr>
        <w:spacing w:after="0" w:line="1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4"/>
          <w:szCs w:val="14"/>
          <w:color w:val="auto"/>
        </w:rPr>
        <w:t>The Best Pharmaceuticals for Children Act, or BPCA, provides NDA holders a six-month period of exclusivity attached to any other exclusivity listed with FDA—patent or non-patent—for a drug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and agreement by the applicant to perform the requested studies and the submission to the FDA, completion of the studies in accordance with the written request, and the acceptance by the FDA of the reports of the requested studies within the statutory timeframe.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19" w:name="page20"/>
    <w:bookmarkEnd w:id="19"/>
    <w:p>
      <w:pPr>
        <w:ind w:right="180"/>
        <w:spacing w:after="0" w:line="241" w:lineRule="auto"/>
        <w:rPr>
          <w:sz w:val="20"/>
          <w:szCs w:val="20"/>
          <w:color w:val="auto"/>
        </w:rPr>
      </w:pPr>
      <w:r>
        <w:rPr>
          <w:rFonts w:ascii="Times New Roman" w:cs="Times New Roman" w:eastAsia="Times New Roman" w:hAnsi="Times New Roman"/>
          <w:sz w:val="14"/>
          <w:szCs w:val="14"/>
          <w:color w:val="auto"/>
        </w:rPr>
        <w:t>In addition, 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unless the sponsor has received a deferral or waiver from the FDA. Unless otherwise required by regulation, PREA does not apply to any drug for an indication for which orphan designation has been granted. The sponsor or the FDA may request a deferral of pediatric studies for some or all of the pediatric subpopulations. A deferral may be granted for several reasons, including a finding that the drug is ready for approval for use in adults before pediatric studies are complete or that additional safety or effectiveness data need to be collected before the pediatric studies begin.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Orphan Drugs</w:t>
      </w:r>
    </w:p>
    <w:p>
      <w:pPr>
        <w:spacing w:after="0" w:line="1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Under the Orphan Drug Act, the FDA may grant orphan drug designation to drugs intended to treat a rare disease or condition—generally a disease or condition that affects fewer than 200,000 individuals in the United States (or affects more than 200,000 in the United States and for which there is no reasonable expectation that the cost of developing and making available in the United States a drug for such disease or condition will be recovered from sales of such drug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If the FDA designates an orphan drug based on a finding of clinical superiority, the FDA must provide a written notification to the sponsor that states the basis for orphan designation, including “any plausible hypothesis” relied upon by the FDA. The FDA must also publish a summary of its clinical superiority findings upon granting orphan drug exclusivity based on clinical superiority.</w:t>
      </w:r>
    </w:p>
    <w:p>
      <w:pPr>
        <w:spacing w:after="0" w:line="1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Breakthrough Designation</w:t>
      </w:r>
    </w:p>
    <w:p>
      <w:pPr>
        <w:spacing w:after="0" w:line="1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4"/>
          <w:szCs w:val="14"/>
          <w:color w:val="auto"/>
        </w:rPr>
        <w:t>A product can be designated as a breakthrough therapy by FDA if it is intended to treat a serious or life-threatening condition and preliminary clinical evidence indicates that it may demonstrate substantial improvement over existing therapies on one or more clinically significant endpoints. A sponsor may request that a product candidate be designated as a breakthrough therapy concurrently with the submission of an IND or any time before an end-of-Phase-2 meeting, and the FDA must determine if the product candidate qualifies for breakthrough therapy designation within 60 days of</w:t>
      </w:r>
    </w:p>
    <w:p>
      <w:pPr>
        <w:spacing w:after="0" w:line="235" w:lineRule="auto"/>
        <w:rPr>
          <w:sz w:val="20"/>
          <w:szCs w:val="20"/>
          <w:color w:val="auto"/>
        </w:rPr>
      </w:pPr>
      <w:r>
        <w:rPr>
          <w:rFonts w:ascii="Times New Roman" w:cs="Times New Roman" w:eastAsia="Times New Roman" w:hAnsi="Times New Roman"/>
          <w:sz w:val="14"/>
          <w:szCs w:val="14"/>
          <w:color w:val="auto"/>
        </w:rPr>
        <w:t>receipt of the sponsor</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s request. If so designated, the FDA shall act to expedite the development and review of the product</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s marketing application, including by meeting with the sponsor throughout</w:t>
      </w:r>
    </w:p>
    <w:p>
      <w:pPr>
        <w:spacing w:after="0" w:line="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the product</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s development, providing timely advice to the sponsor to ensure that the development program to gather pre-clinical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 of World Government Regulation</w:t>
      </w:r>
    </w:p>
    <w:p>
      <w:pPr>
        <w:spacing w:after="0" w:line="1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4"/>
          <w:szCs w:val="14"/>
          <w:color w:val="auto"/>
        </w:rPr>
        <w:t>In addition to regulations in the United States, we are and will be subject, either directly or through our distribution partners, to a variety of regulations in other jurisdictions governing, among other things, clinical trials and any commercial sales and distribution of our products, if approved.</w:t>
      </w:r>
    </w:p>
    <w:p>
      <w:pPr>
        <w:spacing w:after="0" w:line="130"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Whether or not we obtain FDA approval for a product, we must obtain the requisite approvals from regulatory authorities in non-U.S. countries prior to the commencement of clinical trials or marketing of the product in those countries.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Pharmaceutical Coverage, Pricing and Reimbursement</w:t>
      </w:r>
    </w:p>
    <w:p>
      <w:pPr>
        <w:spacing w:after="0" w:line="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Sales of pharmaceutical products in the United States will depend, in part, on the extent to which the costs of the products will be covered by third-party payors, such as government health programs, and commercial insurance and managed health care organizations. These third-party payors are increasingly challenging the prices charged for medical products and services.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0" w:name="page21"/>
    <w:bookmarkEnd w:id="20"/>
    <w:p>
      <w:pPr>
        <w:spacing w:after="0" w:line="236"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drug products for which we obtain regulatory approval. In the United States,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Coverage and reimbursement policies for drug products can differ significantly from payor to payor as there is no uniform policy of coverage and reimbursement for drug products among third party payors in the United States. Third-party payors often rely upon Medicare coverage policy and payment limitations in setting their own reimbursement rates, but also have their own methods and approval process apart from Medicare determinations.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the FDA-approved drugs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6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Additionally, the containment of health 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utilization management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3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The Medicare Prescription Drug, Improvement, and Modernization Act of 2003, or the MMA, imposed requirements for the distribution and pricing of prescription drugs for Medicare beneficiaries and included a major expansion of the prescription drug benefit under Medicare Part D. Under Part D, Medicare beneficiaries may enroll in prescription drug plans offered by private entities that provide coverage of outpatient prescription drugs. Part D is available through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w:t>
      </w:r>
    </w:p>
    <w:p>
      <w:pPr>
        <w:spacing w:after="0" w:line="14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3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The Patient Protection and Affordable Care Act, as amended by the Health Care and Education Reconciliation Act of 2010, collectively, the ACA, was enacted with the goal of expanding coverage for the uninsured while at the same time containing overall health care costs. With regard to pharmaceutical products, among other things, the ACA expanded and increased industry rebates for drugs covered under Medicaid programs and made changes to the coverage requirements under the Medicare D program. There have been challenges to certain aspects of the ACA.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to initiate a special enrollment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21" w:name="page22"/>
    <w:bookmarkEnd w:id="21"/>
    <w:p>
      <w:pPr>
        <w:ind w:right="40"/>
        <w:spacing w:after="0" w:line="245" w:lineRule="auto"/>
        <w:rPr>
          <w:sz w:val="20"/>
          <w:szCs w:val="20"/>
          <w:color w:val="auto"/>
        </w:rPr>
      </w:pPr>
      <w:r>
        <w:rPr>
          <w:rFonts w:ascii="Times New Roman" w:cs="Times New Roman" w:eastAsia="Times New Roman" w:hAnsi="Times New Roman"/>
          <w:sz w:val="14"/>
          <w:szCs w:val="14"/>
          <w:color w:val="auto"/>
        </w:rPr>
        <w:t>include work requirements, and policies that create unnecessary barriers to obtaining access to health insurance coverage through Medicaid or the ACA.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the healthcare reform measures of the Biden administration will impact the ACA.</w:t>
      </w:r>
    </w:p>
    <w:p>
      <w:pPr>
        <w:spacing w:after="0" w:line="16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4"/>
          <w:szCs w:val="14"/>
          <w:color w:val="auto"/>
        </w:rPr>
        <w:t>Also, there has been heightened governmental scrutiny recently over pharmaceutical pricing practices in light of the rising cost of prescription drugs and biologics. Such scrutiny has resulted in several Presidential executive orders, Congressional hearings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Further, Congress is considering additional health reform measures.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In addition, in some foreign countries, the proposed pricing for a drug must be approved before it may be lawfully marketed. The requirements governing drug pricing vary widely from country to country. For example, some E.U.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Such differences in national pricing regimes may create price differentials between E.U. member states.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In the European Union, the downward pressure on healthcare costs in general, particularly prescription medicines, has become intense. As a result, barriers to entry of new products are becoming increasingly high and patients are unlikely to use a drug product that is not reimbursed by their government.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 and Compliance Requirements</w:t>
      </w:r>
    </w:p>
    <w:p>
      <w:pPr>
        <w:spacing w:after="0" w:line="6" w:lineRule="exact"/>
        <w:rPr>
          <w:sz w:val="20"/>
          <w:szCs w:val="20"/>
          <w:color w:val="auto"/>
        </w:rPr>
      </w:pPr>
    </w:p>
    <w:p>
      <w:pPr>
        <w:jc w:val="both"/>
        <w:ind w:right="160"/>
        <w:spacing w:after="0" w:line="231" w:lineRule="auto"/>
        <w:rPr>
          <w:sz w:val="20"/>
          <w:szCs w:val="20"/>
          <w:color w:val="auto"/>
        </w:rPr>
      </w:pPr>
      <w:r>
        <w:rPr>
          <w:rFonts w:ascii="Times New Roman" w:cs="Times New Roman" w:eastAsia="Times New Roman" w:hAnsi="Times New Roman"/>
          <w:sz w:val="14"/>
          <w:szCs w:val="14"/>
          <w:color w:val="auto"/>
        </w:rPr>
        <w:t>Our current and future operations may subject us to various federal and state laws targeting fraud and abuse in the healthcare industry. These laws may impact, among other things, our research and proposed sales, marketing and education programs. In addition, we may be subject to patient privacy regulation by both the federal government and the states and foreign jurisdictions in which we conduct our business. The laws that may affect our ability to operate include:</w:t>
      </w:r>
    </w:p>
    <w:p>
      <w:pPr>
        <w:spacing w:after="0" w:line="2" w:lineRule="exact"/>
        <w:rPr>
          <w:sz w:val="20"/>
          <w:szCs w:val="20"/>
          <w:color w:val="auto"/>
        </w:rPr>
      </w:pPr>
    </w:p>
    <w:p>
      <w:pPr>
        <w:ind w:left="520" w:right="80" w:hanging="260"/>
        <w:spacing w:after="0" w:line="23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ind w:left="520" w:right="600" w:hanging="260"/>
        <w:spacing w:after="0" w:line="229"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ind w:left="520" w:right="140" w:hanging="260"/>
        <w:spacing w:after="0" w:line="24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or HIPAA, which created additional federal criminal statutes that prohibit, among other things, executing a scheme to defraud any healthcare benefit program and making false statements relating to healthcare matters;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22" w:name="page23"/>
    <w:bookmarkEnd w:id="22"/>
    <w:p>
      <w:pPr>
        <w:ind w:left="520" w:right="560" w:hanging="260"/>
        <w:spacing w:after="0" w:line="23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transparency laws, including the federal Physician Payments Sunshine Act, that require drug manufacturers to disclose payments and other transfers of value provided to physicians, (currently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1" w:lineRule="exact"/>
        <w:rPr>
          <w:rFonts w:ascii="Times New Roman" w:cs="Times New Roman" w:eastAsia="Times New Roman" w:hAnsi="Times New Roman"/>
          <w:sz w:val="14"/>
          <w:szCs w:val="14"/>
          <w:color w:val="auto"/>
        </w:rPr>
      </w:pPr>
    </w:p>
    <w:p>
      <w:pPr>
        <w:ind w:left="520" w:right="400" w:hanging="260"/>
        <w:spacing w:after="0" w:line="23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and Clinical Health Act, or HITECH, and its implementing regulations, which imposes certain requirements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covered subcontractors, with respect to safeguarding the privacy, security and transmission of individually identifiable health information; and</w:t>
      </w:r>
    </w:p>
    <w:p>
      <w:pPr>
        <w:ind w:left="520" w:hanging="260"/>
        <w:spacing w:after="0" w:line="23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and state law equivalents of each of the above federal laws, such as anti-kickback and false claims laws which may apply to items or services reimbursed by any third-party payor, including commercial insurers, state and local laws governing the disclosure of payments to health care professionals, state laws that require pharmaceutical companies to comply with the pharmaceutical industry’s voluntary compliance guidelines and the relevant compliance guidance promulgated by the federal government, state laws that require the reporting of information related to drug pricing, state and local laws requiring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6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If our operations are found to be in violation of any of these laws or any other governmental regulations that may apply to it, we may be subject to significant civil, criminal and administrative penalties, damages, fines, imprisonment, exclusion from government funded healthcare programs, such as Medicare and Medicaid, and the curtailment or restructuring of our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Policies and Procedures</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As of December 31, 2022, we had 70 full-time employees. Of these employees, 47 were engaged in research and development and 23 were engaged in selling, general and administrative functions. All of our employees are located in the United States or Vienna, Austria. We have no collective bargaining agreements with our employees and have not experienced any work stoppages. We consider our relationship with our employees to be good.</w:t>
      </w:r>
    </w:p>
    <w:p>
      <w:pPr>
        <w:spacing w:after="0" w:line="16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Human capital is critical to our success. Our overarching human capital resource strategy is to recruit, hire, incentivize and retain employees consistent with our stage of operations and strategic objectives. We believe we offer our employees compensation that is competitive and consistent with the markets in which we operate, namely the Greater Boston and the Vienna, Austria metropolitan areas. We supplement base cash employee compensation with awards of stock options and/or restricted stock units under our equity incentive plans. We review employee performance annually and our Compensation Committee approves associated merit increases and annual incentive bonus payments during the first quarter of the year annually. When needed, we augment our employee base with outside consultants who specialize in various fields.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in 2010 under the name Arsanis Inc. Following the Merger with X4 Therapeutics Inc. (formerly X4 Pharmaceuticals Inc.) on March 13, 2019, we changed our name to X4 Pharmaceuticals, Inc. Our principal executive offices are located at 61 North Beacon Street, 4th Floor, Boston, Massachusetts 02134 and our telephone number is (857) 529-8300.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4"/>
          <w:szCs w:val="14"/>
          <w:color w:val="auto"/>
        </w:rPr>
        <w:t>We maintain a website at http://www.x4pharma.com. Our annual reports on Form 10-K, quarterly reports on Form 10-Q, proxy statements, current reports on Form 8-K and amendments to those reports filed or furnished pursuant to Section 13(a) or 15(d) of the Exchange Act are available free of charge on our website as soon as reasonably practicable after electronically filing such reports with the SEC. Such reports and other information may be accessed through the SEC’s website at www.sec.gov. Information contained in our website is not part of this or any other report that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23" w:name="page24"/>
    <w:bookmarkEnd w:id="23"/>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20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a high degree of risk. You should carefully consider the following information about these risks, together with the other information appearing elsewhere in this Annual Report, including our audited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Selected Risks Associated with Our Business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Some of the more significant risks include the following:</w:t>
      </w:r>
    </w:p>
    <w:p>
      <w:pPr>
        <w:spacing w:after="0" w:line="168" w:lineRule="exact"/>
        <w:rPr>
          <w:sz w:val="20"/>
          <w:szCs w:val="20"/>
          <w:color w:val="auto"/>
        </w:rPr>
      </w:pPr>
    </w:p>
    <w:p>
      <w:pPr>
        <w:ind w:left="520" w:hanging="260"/>
        <w:spacing w:after="0" w:line="231" w:lineRule="auto"/>
        <w:tabs>
          <w:tab w:leader="none" w:pos="516"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We have incurred significant losses and have not generated revenue from product sales since our inception. We expect to continue to incur losses for the foreseeable future, and we may never achieve or maintain profitability.</w:t>
      </w:r>
    </w:p>
    <w:p>
      <w:pPr>
        <w:spacing w:after="0" w:line="155" w:lineRule="exact"/>
        <w:rPr>
          <w:rFonts w:ascii="Arial" w:cs="Arial" w:eastAsia="Arial" w:hAnsi="Arial"/>
          <w:sz w:val="17"/>
          <w:szCs w:val="17"/>
          <w:color w:val="auto"/>
        </w:rPr>
      </w:pPr>
    </w:p>
    <w:p>
      <w:pPr>
        <w:ind w:left="520" w:right="400" w:hanging="260"/>
        <w:spacing w:after="0" w:line="255"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liquidity position raises substantial doubt about our ability to continue as a going concern and we will require substantial additional funding. If we are unable to raise capital when needed, we could be forced to delay, reduce or eliminate any product development programs or commercialization efforts.</w:t>
      </w:r>
    </w:p>
    <w:p>
      <w:pPr>
        <w:spacing w:after="0" w:line="145" w:lineRule="exact"/>
        <w:rPr>
          <w:rFonts w:ascii="Times New Roman" w:cs="Times New Roman" w:eastAsia="Times New Roman" w:hAnsi="Times New Roman"/>
          <w:sz w:val="14"/>
          <w:szCs w:val="14"/>
          <w:color w:val="auto"/>
        </w:rPr>
      </w:pPr>
    </w:p>
    <w:p>
      <w:pPr>
        <w:ind w:left="520" w:right="80" w:hanging="260"/>
        <w:spacing w:after="0" w:line="255"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Raising additional capital may cause dilution to our investors, restrict our operations or require us to relinquish rights to our technologies or product candidates. Future debt obligations may expose us to risks that could adversely affect our business, operating results and financial condition and may result in further dilution to our stockholders.</w:t>
      </w:r>
    </w:p>
    <w:p>
      <w:pPr>
        <w:spacing w:after="0" w:line="145" w:lineRule="exact"/>
        <w:rPr>
          <w:rFonts w:ascii="Times New Roman" w:cs="Times New Roman" w:eastAsia="Times New Roman" w:hAnsi="Times New Roman"/>
          <w:sz w:val="14"/>
          <w:szCs w:val="14"/>
          <w:color w:val="auto"/>
        </w:rPr>
      </w:pPr>
    </w:p>
    <w:p>
      <w:pPr>
        <w:ind w:left="520" w:right="20" w:hanging="260"/>
        <w:spacing w:after="0" w:line="25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almost entirely on the success of our lead product candidate, mavorixafor, which we are developing for the potential treatment of chronic neutropenic disorders, including WHIM (Warts, Hypogammaglobulinemia, Infections, and Myelokathexis) syndrome and, contingent on a potential strategic partnerships, for the treatment of Waldenström’s. We cannot be certain that we will be able to obtain regulatory approval for, or successfully commercialize, mavorixafor or any other product candidate.</w:t>
      </w:r>
    </w:p>
    <w:p>
      <w:pPr>
        <w:spacing w:after="0" w:line="157" w:lineRule="exact"/>
        <w:rPr>
          <w:rFonts w:ascii="Times New Roman" w:cs="Times New Roman" w:eastAsia="Times New Roman" w:hAnsi="Times New Roman"/>
          <w:sz w:val="14"/>
          <w:szCs w:val="14"/>
          <w:color w:val="auto"/>
        </w:rPr>
      </w:pPr>
    </w:p>
    <w:p>
      <w:pPr>
        <w:ind w:left="520" w:right="120" w:hanging="260"/>
        <w:spacing w:after="0" w:line="255"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review and approval processes of the FDA and comparable foreign regulatory authorities are lengthy, time-consuming and inherently unpredictable, and if we are ultimately unable to obtain regulatory approval for our product candidates, including mavorixafor, our business will be substantially harmed.</w:t>
      </w:r>
    </w:p>
    <w:p>
      <w:pPr>
        <w:spacing w:after="0" w:line="145" w:lineRule="exact"/>
        <w:rPr>
          <w:rFonts w:ascii="Times New Roman" w:cs="Times New Roman" w:eastAsia="Times New Roman" w:hAnsi="Times New Roman"/>
          <w:sz w:val="14"/>
          <w:szCs w:val="14"/>
          <w:color w:val="auto"/>
        </w:rPr>
      </w:pPr>
    </w:p>
    <w:p>
      <w:pPr>
        <w:ind w:left="520" w:right="280" w:hanging="260"/>
        <w:spacing w:after="0" w:line="239"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license agreements with Genzyme, Beth Israel Deaconess Medical Center, Georgetown University and Dana-Farber Cancer Institute to permit us to use patents and patent applications. Termination of these rights or the failure to comply with obligations under these agreements could materially harm our business and prevent us from developing or commercializing our product candidates.</w:t>
      </w:r>
    </w:p>
    <w:p>
      <w:pPr>
        <w:spacing w:after="0" w:line="15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support our product candidate claims.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enroll a sufficient number of patients in our clinical trials in a timely manner, which could delay or prevent clinical trials of our product candidates.</w:t>
      </w:r>
    </w:p>
    <w:p>
      <w:pPr>
        <w:spacing w:after="0" w:line="178" w:lineRule="exact"/>
        <w:rPr>
          <w:rFonts w:ascii="Times New Roman" w:cs="Times New Roman" w:eastAsia="Times New Roman" w:hAnsi="Times New Roman"/>
          <w:sz w:val="14"/>
          <w:szCs w:val="14"/>
          <w:color w:val="auto"/>
        </w:rPr>
      </w:pPr>
    </w:p>
    <w:p>
      <w:pPr>
        <w:ind w:left="520" w:right="40" w:hanging="260"/>
        <w:spacing w:after="0" w:line="255"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commercial opportunity for mavorixafor in chronic neutropenic disorders, including WHIM syndrome, is smaller than we anticipate, our potential future revenue from mavorixafor for the treatment of any of the diseases may be adversely affected and our business may suffer.</w:t>
      </w:r>
    </w:p>
    <w:p>
      <w:pPr>
        <w:spacing w:after="0" w:line="145" w:lineRule="exact"/>
        <w:rPr>
          <w:rFonts w:ascii="Times New Roman" w:cs="Times New Roman" w:eastAsia="Times New Roman" w:hAnsi="Times New Roman"/>
          <w:sz w:val="14"/>
          <w:szCs w:val="14"/>
          <w:color w:val="auto"/>
        </w:rPr>
      </w:pPr>
    </w:p>
    <w:p>
      <w:pPr>
        <w:ind w:left="520" w:right="200" w:hanging="260"/>
        <w:spacing w:after="0" w:line="255"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5" w:lineRule="exact"/>
        <w:rPr>
          <w:rFonts w:ascii="Times New Roman" w:cs="Times New Roman" w:eastAsia="Times New Roman" w:hAnsi="Times New Roman"/>
          <w:sz w:val="14"/>
          <w:szCs w:val="14"/>
          <w:color w:val="auto"/>
        </w:rPr>
      </w:pPr>
    </w:p>
    <w:p>
      <w:pPr>
        <w:ind w:left="520" w:right="280" w:hanging="260"/>
        <w:spacing w:after="0" w:line="255"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breakthrough therapy designation or Fast Track designation by the FDA for our product candidates may not lead to a faster development or regulatory review or approval process, and neither of these designations increases the likelihood that our product candidates will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6" w:right="339" w:bottom="1440" w:gutter="0" w:footer="0" w:header="0"/>
        </w:sectPr>
      </w:pPr>
    </w:p>
    <w:bookmarkStart w:id="24" w:name="page25"/>
    <w:bookmarkEnd w:id="24"/>
    <w:p>
      <w:pPr>
        <w:ind w:left="260" w:right="4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may cause undesirable side effects that could delay or prevent their marketing approval, limit the commercial profile of an approved label, or result in significant negative consequences following marketing approval, if any, including marketing withdrawal.</w:t>
      </w:r>
    </w:p>
    <w:p>
      <w:pPr>
        <w:spacing w:after="0" w:line="145" w:lineRule="exact"/>
        <w:rPr>
          <w:rFonts w:ascii="Times New Roman" w:cs="Times New Roman" w:eastAsia="Times New Roman" w:hAnsi="Times New Roman"/>
          <w:sz w:val="14"/>
          <w:szCs w:val="14"/>
          <w:color w:val="auto"/>
        </w:rPr>
      </w:pPr>
    </w:p>
    <w:p>
      <w:pPr>
        <w:ind w:left="260" w:right="8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 the future, we are unable to establish sales and marketing capabilities or to selectively enter into agreements with third parties to sell and market our product candidates, we may not be successful in commercializing our product candidates if and when they are approved.</w:t>
      </w:r>
    </w:p>
    <w:p>
      <w:pPr>
        <w:spacing w:after="0" w:line="14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that may result in others discovering, developing or commercializing products before or more successfully than we do.</w:t>
      </w:r>
    </w:p>
    <w:p>
      <w:pPr>
        <w:spacing w:after="0" w:line="178" w:lineRule="exact"/>
        <w:rPr>
          <w:rFonts w:ascii="Times New Roman" w:cs="Times New Roman" w:eastAsia="Times New Roman" w:hAnsi="Times New Roman"/>
          <w:sz w:val="14"/>
          <w:szCs w:val="14"/>
          <w:color w:val="auto"/>
        </w:rPr>
      </w:pPr>
    </w:p>
    <w:p>
      <w:pPr>
        <w:ind w:left="260" w:right="10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obtain and maintain approval for our product candidates from the FDA, we may never obtain approval for our product candidates outside of the United States, which would limit our market opportunities and could harm our business.</w:t>
      </w:r>
    </w:p>
    <w:p>
      <w:pPr>
        <w:spacing w:after="0" w:line="145" w:lineRule="exact"/>
        <w:rPr>
          <w:rFonts w:ascii="Times New Roman" w:cs="Times New Roman" w:eastAsia="Times New Roman" w:hAnsi="Times New Roman"/>
          <w:sz w:val="14"/>
          <w:szCs w:val="14"/>
          <w:color w:val="auto"/>
        </w:rPr>
      </w:pPr>
    </w:p>
    <w:p>
      <w:pPr>
        <w:ind w:left="260" w:right="70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are able to commercialize mavorixafor or any other product candidate that we develop, the product may become subject to unfavorable pricing regulations, third-party reimbursement practices or healthcare reform initiatives, which would harm our business.</w:t>
      </w:r>
    </w:p>
    <w:p>
      <w:pPr>
        <w:spacing w:after="0" w:line="145" w:lineRule="exact"/>
        <w:rPr>
          <w:rFonts w:ascii="Times New Roman" w:cs="Times New Roman" w:eastAsia="Times New Roman" w:hAnsi="Times New Roman"/>
          <w:sz w:val="14"/>
          <w:szCs w:val="14"/>
          <w:color w:val="auto"/>
        </w:rPr>
      </w:pPr>
    </w:p>
    <w:p>
      <w:pPr>
        <w:ind w:left="260" w:right="160" w:hanging="260"/>
        <w:spacing w:after="0" w:line="239"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 experience manufacturing our product candidates on a large clinical or commercial scale and have no manufacturing facility. We are currently dependent on a single third party manufacturer for the manufacture of mavorixafor, the active pharmaceutical ingredient (“API”) and a single manufacturer of mavorixafor finished drug product capsules. If we experience problems with these third parties, the manufacturing of mavorixafor could be delayed, which could harm our results of operations.</w:t>
      </w:r>
    </w:p>
    <w:p>
      <w:pPr>
        <w:spacing w:after="0" w:line="155" w:lineRule="exact"/>
        <w:rPr>
          <w:rFonts w:ascii="Times New Roman" w:cs="Times New Roman" w:eastAsia="Times New Roman" w:hAnsi="Times New Roman"/>
          <w:sz w:val="14"/>
          <w:szCs w:val="14"/>
          <w:color w:val="auto"/>
        </w:rPr>
      </w:pPr>
    </w:p>
    <w:p>
      <w:pPr>
        <w:ind w:left="260" w:right="4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14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supply chain could delay the commercial launch of our product candidates.</w:t>
      </w:r>
    </w:p>
    <w:p>
      <w:pPr>
        <w:spacing w:after="0" w:line="167" w:lineRule="exact"/>
        <w:rPr>
          <w:rFonts w:ascii="Times New Roman" w:cs="Times New Roman" w:eastAsia="Times New Roman" w:hAnsi="Times New Roman"/>
          <w:sz w:val="14"/>
          <w:szCs w:val="14"/>
          <w:color w:val="auto"/>
        </w:rPr>
      </w:pPr>
    </w:p>
    <w:p>
      <w:pPr>
        <w:ind w:left="260" w:right="10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principal investigators, CROs and consultants may engage in misconduct or other improper activities, including noncompliance with regulatory standards and requirements, which could have a material adverse effect on our business.</w:t>
      </w:r>
    </w:p>
    <w:p>
      <w:pPr>
        <w:spacing w:after="0" w:line="145" w:lineRule="exact"/>
        <w:rPr>
          <w:rFonts w:ascii="Times New Roman" w:cs="Times New Roman" w:eastAsia="Times New Roman" w:hAnsi="Times New Roman"/>
          <w:sz w:val="14"/>
          <w:szCs w:val="14"/>
          <w:color w:val="auto"/>
        </w:rPr>
      </w:pPr>
    </w:p>
    <w:p>
      <w:pPr>
        <w:ind w:left="260" w:right="14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depend on such collaborations for the development and commercialization of our product candidates. If those collaborations are not successful, we may not be able to capitalize on the market potential of our product candidates.</w:t>
      </w:r>
    </w:p>
    <w:p>
      <w:pPr>
        <w:spacing w:after="0" w:line="14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protect our intellectual property rights, our competitive position could be harmed.</w:t>
      </w:r>
    </w:p>
    <w:p>
      <w:pPr>
        <w:spacing w:after="0" w:line="178" w:lineRule="exact"/>
        <w:rPr>
          <w:rFonts w:ascii="Times New Roman" w:cs="Times New Roman" w:eastAsia="Times New Roman" w:hAnsi="Times New Roman"/>
          <w:sz w:val="14"/>
          <w:szCs w:val="14"/>
          <w:color w:val="auto"/>
        </w:rPr>
      </w:pPr>
    </w:p>
    <w:p>
      <w:pPr>
        <w:ind w:left="26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executives and to attract, retain and motivate key personnel in a competitive environment for skilled biotechnology personnel.</w:t>
      </w:r>
    </w:p>
    <w:p>
      <w:pPr>
        <w:spacing w:after="0" w:line="17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grow the size of our organization, and we may experience difficulties in managing this growth.</w:t>
      </w:r>
    </w:p>
    <w:p>
      <w:pPr>
        <w:spacing w:after="0" w:line="167"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term load contains restrictions that limit our flexibility in operating our business.</w:t>
      </w:r>
    </w:p>
    <w:p>
      <w:pPr>
        <w:spacing w:after="0" w:line="178" w:lineRule="exact"/>
        <w:rPr>
          <w:rFonts w:ascii="Times New Roman" w:cs="Times New Roman" w:eastAsia="Times New Roman" w:hAnsi="Times New Roman"/>
          <w:sz w:val="14"/>
          <w:szCs w:val="14"/>
          <w:color w:val="auto"/>
        </w:rPr>
      </w:pPr>
    </w:p>
    <w:p>
      <w:pPr>
        <w:ind w:left="260" w:right="40" w:hanging="260"/>
        <w:spacing w:after="0" w:line="25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adversely affected by economic downturns, inflation, increases in interest rates, natural disasters, public health crises such as the COVID-19 pandemic, political crises, geopolitical events, such a the war in Ukraine, or other macroeconomic conditions, which have in the past and may in the future negatively impact our business and financial performance.</w:t>
      </w:r>
    </w:p>
    <w:p>
      <w:pPr>
        <w:spacing w:after="0" w:line="14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has been and is likely to continue to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13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Need for Additional Capital</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and have not generated revenue from product sales since our inception. We expect to continue to incur losses for the foreseeable future and we may never achieve or maintain profitability.</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4"/>
          <w:szCs w:val="14"/>
          <w:color w:val="auto"/>
        </w:rPr>
        <w:t>We are a late clinical-stage biopharmaceutical company.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Since inception, we have incurred significant operating losses. Our net losses were $93.9 million, $88.7 million and $62.1 million for the years ended December 31, 2022, 2021 and 2020 respectively, and we had an accumulated deficit of $376.7 million as of December 31, 2022. We have funded our operations to date primarily with proceeds from sales of common stock, warrants and prefunded warrants for the purchase of our preferred stock and our common stock, sales of preferred stock, proceeds from the issuance of convertible debt and borrowings under loan and security agreements. We have no products approved for commercial sale and have not generated any revenue from product sales to date, and we may never generate product revenue or achieve profitability.</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expect to continue to incur significant expenses and increasing operating losses for at least the next several years as we conduct additional clinical trials for our product candidates; continue to discover and develop additional product candidates; acquire or in-license other product candidates and technologies; maintain, expand and protect our intellectual property portfolio; hire additional clinical, scientific and commercial personnel; establish a commercial manufacturing source and secure supply chain capacity sufficient to provide commercial quantities of any product candidates for which we may obtain regulatory approval; seek regulatory approvals for any product candidates that successfully complete clinical trials; establish a sales, marketing and distribution infrastructure to commercialize any products for which we may obtain regulatory approval; and add operational, financial and management information systems and personnel, including personnel to support our product development and planned future commercialization efforts. We may encounter unforeseen expenses, difficulties, complications, delays and other unknown factors that may adversely affect our business. The size of our future net losses will depend, in part, on the rate of future growth of our expenses and our ability to generate revenues.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ability to generate profits from operations and thereafter to remain profitable depends heavily on:</w:t>
      </w:r>
    </w:p>
    <w:p>
      <w:pPr>
        <w:spacing w:after="0" w:line="94" w:lineRule="exact"/>
        <w:rPr>
          <w:sz w:val="20"/>
          <w:szCs w:val="20"/>
          <w:color w:val="auto"/>
        </w:rPr>
      </w:pPr>
    </w:p>
    <w:p>
      <w:pPr>
        <w:jc w:val="both"/>
        <w:ind w:left="1280" w:hanging="257"/>
        <w:spacing w:after="0" w:line="270" w:lineRule="auto"/>
        <w:tabs>
          <w:tab w:leader="none" w:pos="12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number, progress, duration, endpoints, cost, results and timing of clinical trials and nonclinical studies of our current or potential future product candidates, including in particular the scope, progress, duration, endpoints, cost, results and timing for completion of our Phase 2 clinical trial of mavorixafor for the treatment of chronic neutropenic disorders;</w:t>
      </w:r>
    </w:p>
    <w:p>
      <w:pPr>
        <w:spacing w:after="0" w:line="50"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sufficient funds to support the development and potential commercialization of our product candidates;</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outcomes and timing of regulatory reviews, approvals or other actions;</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marketing approval for our product candidates;</w:t>
      </w:r>
    </w:p>
    <w:p>
      <w:pPr>
        <w:spacing w:after="0" w:line="93" w:lineRule="exact"/>
        <w:rPr>
          <w:rFonts w:ascii="Times New Roman" w:cs="Times New Roman" w:eastAsia="Times New Roman" w:hAnsi="Times New Roman"/>
          <w:sz w:val="14"/>
          <w:szCs w:val="14"/>
          <w:color w:val="auto"/>
        </w:rPr>
      </w:pPr>
    </w:p>
    <w:p>
      <w:pPr>
        <w:ind w:left="1280" w:right="820" w:hanging="257"/>
        <w:spacing w:after="0" w:line="287" w:lineRule="auto"/>
        <w:tabs>
          <w:tab w:leader="none" w:pos="12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spacing w:after="0" w:line="39"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any other business, product or technology that we acquire or in which we invest;</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any approved products on commercially reasonable terms;</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sales and marketing organization or suitable third-party alternatives for any approved product;</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and programs that we pursue;</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regulatory and scientific personnel; and</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legal, accounting and other expenses associated with operating as a public company.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1" w:right="359" w:bottom="1440" w:gutter="0" w:footer="0" w:header="0"/>
        </w:sectPr>
      </w:pPr>
    </w:p>
    <w:bookmarkStart w:id="26" w:name="page27"/>
    <w:bookmarkEnd w:id="26"/>
    <w:p>
      <w:pPr>
        <w:ind w:right="80"/>
        <w:spacing w:after="0" w:line="259" w:lineRule="auto"/>
        <w:rPr>
          <w:sz w:val="20"/>
          <w:szCs w:val="20"/>
          <w:color w:val="auto"/>
        </w:rPr>
      </w:pPr>
      <w:r>
        <w:rPr>
          <w:rFonts w:ascii="Times New Roman" w:cs="Times New Roman" w:eastAsia="Times New Roman" w:hAnsi="Times New Roman"/>
          <w:sz w:val="14"/>
          <w:szCs w:val="14"/>
          <w:color w:val="auto"/>
        </w:rPr>
        <w:t>Based on our current plans, we do not expect to generate significant revenue from product sales unless and until we (or a potential future licensee or collaborator) obtain marketing approval for, and commercialize, one or more of our current or potential future product candidates. Neither we nor a licensee may ever succeed in obtaining marketing approval for, or commercializing, our product candidates and, even if we do, we may never generate revenues that are significant enough to generate profits from operations. Even if we do generate profits from operations, we may not be able to sustain or increase profitability on a quarterly or annual basis. Our failure to generate profits from operations and remain profitable would decrease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14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We may encounter unforeseen expenses, difficulties, complications, delays and other known and unknown factors that may alter or delay our plans. For example, we experienced delays in clinical trial site activation and slower patient enrollment in some of our clinical trials as a result of the COVID-19 pandemic, which delayed our expectations regarding our ability to report data from those trials, and we may encounter additional delays, disruptions and other direct and indirect negative effects of the ongoing COVID-19 pandemic on our clinical trials. Assuming that we complete the development of and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liquidity position raises substantial doubt about our ability to continue as a going concern and we will require substantial additional funding. If we are unable to raise capital when needed, we could be forced to delay, reduce or eliminate any product development programs or commercialization efforts.</w:t>
      </w:r>
    </w:p>
    <w:p>
      <w:pPr>
        <w:spacing w:after="0" w:line="238" w:lineRule="auto"/>
        <w:rPr>
          <w:sz w:val="20"/>
          <w:szCs w:val="20"/>
          <w:color w:val="auto"/>
        </w:rPr>
      </w:pPr>
      <w:r>
        <w:rPr>
          <w:rFonts w:ascii="Times New Roman" w:cs="Times New Roman" w:eastAsia="Times New Roman" w:hAnsi="Times New Roman"/>
          <w:sz w:val="14"/>
          <w:szCs w:val="14"/>
          <w:color w:val="auto"/>
        </w:rPr>
        <w:t>We may be forced to delay or reduce the scope of our development programs and/or limit or cease our operations if we are unable to obtain additional funding to support our current operating plan.</w:t>
      </w:r>
    </w:p>
    <w:p>
      <w:pPr>
        <w:spacing w:after="0"/>
        <w:rPr>
          <w:sz w:val="20"/>
          <w:szCs w:val="20"/>
          <w:color w:val="auto"/>
        </w:rPr>
      </w:pPr>
      <w:r>
        <w:rPr>
          <w:rFonts w:ascii="Times New Roman" w:cs="Times New Roman" w:eastAsia="Times New Roman" w:hAnsi="Times New Roman"/>
          <w:sz w:val="14"/>
          <w:szCs w:val="14"/>
          <w:color w:val="auto"/>
        </w:rPr>
        <w:t>We have identified conditions and events that raise substantial doubt about our ability to continue as a going concern.</w:t>
      </w:r>
    </w:p>
    <w:p>
      <w:pPr>
        <w:spacing w:after="0" w:line="16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Our operations have consumed a large amount of cash since inception. To date, we have funded our operations primarily with proceeds from sales of common stock, warrants and prefunded warrants for the purchase of our preferred stock and our common stock, sales of preferred stock, proceeds from the issuance of convertible debt and borrowings under loan and security agreements. We expect our research and development expenses to increase in future periods as we continue to advance the clinical development of our product candidates and prepare for the launch and commercialization of any product candidates for which we receive regulatory approval, including potentially building our own commercial organization to address the U.S. and certain other markets. In addition, if we obtain marketing approval for any of our product candidates that are not then subject to licensing, collaboration or similar arrangements with third parties, we expect to incur significant commercialization expenses related to product sales, marketing, distribution and manufacturing. Furthermore, we expect to incur additional costs associated with operating as a public company.</w:t>
      </w:r>
    </w:p>
    <w:p>
      <w:pPr>
        <w:spacing w:after="0" w:line="1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As of December 31, 2022, we have cash and cash equivalents of $121.7 million. We will require additional capital to sustain our operations, and to carry out our business plans, which may include raising funds through public or private equity or debt financings, third-party funding, marketing and distribution arrangements, as well as other collaborations, strategic alliances and licensing arrangements, or any combination of these approaches. While we have successfully raised capital in the past, our ability to raise capital in future periods is not assured. We will also require additional capital to satisfy the covenant under our existing debt facility with Hercules Capital, Inc. and certain affiliated entities (“Hercules”) that requires that we maintain a minimum level of cash of $20.0 million, subject to reduction to $10.0 million upon the achievement of certain conditions. Based on our current cash flow projections and assuming no additional funding, we will fail to maintain the minimum cash required to satisfy this covenant as soon as the first quarter of 2024. In such event, Hercules could require the repayment of all outstanding debt. Based on the foregoing, we have concluded that substantial doubt exists about our ability to continue as a going concern for a period of at least 12 months from the date of issuance of the financial statements appearing elsewhere in this Annual Report. Our financial statements have been prepared assuming that we will continue as a going concern, which contemplates the realization of assets and the settlement of liabilities and commitments in the normal course of business. The financial statements do not include any adjustments relating to the recoverability and classification of recorded asset amounts or the amounts and classification of liabilities that might result from the outcome of the uncertainty described above. See also the risk factor titled “</w:t>
      </w:r>
      <w:r>
        <w:rPr>
          <w:rFonts w:ascii="Times New Roman" w:cs="Times New Roman" w:eastAsia="Times New Roman" w:hAnsi="Times New Roman"/>
          <w:sz w:val="14"/>
          <w:szCs w:val="14"/>
          <w:i w:val="1"/>
          <w:iCs w:val="1"/>
          <w:color w:val="auto"/>
        </w:rPr>
        <w:t>Our term loan contains restrictions that limit our flexibility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operating our business</w:t>
      </w:r>
      <w:r>
        <w:rPr>
          <w:rFonts w:ascii="Times New Roman" w:cs="Times New Roman" w:eastAsia="Times New Roman" w:hAnsi="Times New Roman"/>
          <w:sz w:val="14"/>
          <w:szCs w:val="14"/>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3" w:right="359" w:bottom="1440" w:gutter="0" w:footer="0" w:header="0"/>
        </w:sectPr>
      </w:pPr>
    </w:p>
    <w:bookmarkStart w:id="27" w:name="page28"/>
    <w:bookmarkEnd w:id="27"/>
    <w:p>
      <w:pPr>
        <w:spacing w:after="0" w:line="245" w:lineRule="auto"/>
        <w:rPr>
          <w:sz w:val="20"/>
          <w:szCs w:val="20"/>
          <w:color w:val="auto"/>
        </w:rPr>
      </w:pPr>
      <w:r>
        <w:rPr>
          <w:rFonts w:ascii="Times New Roman" w:cs="Times New Roman" w:eastAsia="Times New Roman" w:hAnsi="Times New Roman"/>
          <w:sz w:val="14"/>
          <w:szCs w:val="14"/>
          <w:color w:val="auto"/>
        </w:rPr>
        <w:t>We cannot be certain that additional funding will be available on acceptable terms, or at all. If we are unable to raise additional capital when needed or in sufficient amounts or on terms acceptable to us, we could be forced to delay, reduce or eliminate our research and development programs or any future commercialization efforts of one or more of our product candidates or one or more of our other research and development initiatives.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could be required to:</w:t>
      </w:r>
    </w:p>
    <w:p>
      <w:pPr>
        <w:spacing w:after="0" w:line="94" w:lineRule="exact"/>
        <w:rPr>
          <w:sz w:val="20"/>
          <w:szCs w:val="20"/>
          <w:color w:val="auto"/>
        </w:rPr>
      </w:pPr>
    </w:p>
    <w:p>
      <w:pPr>
        <w:ind w:left="1220" w:right="220" w:hanging="197"/>
        <w:spacing w:after="0" w:line="287" w:lineRule="auto"/>
        <w:tabs>
          <w:tab w:leader="none" w:pos="12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new or additional collaborators for one or more of our current or future product candidates at an earlier stage than otherwise would be desirable or on terms that are less favorable than might otherwise be available; or</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relinquish or license on unfavorable terms our rights to technologies or product candidates that we otherwise would seek to develop or commercialize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funding requirements, both near and long-term, will depend on many factors, including, but not limited to:</w:t>
      </w:r>
    </w:p>
    <w:p>
      <w:pPr>
        <w:spacing w:after="0" w:line="94" w:lineRule="exact"/>
        <w:rPr>
          <w:sz w:val="20"/>
          <w:szCs w:val="20"/>
          <w:color w:val="auto"/>
        </w:rPr>
      </w:pPr>
    </w:p>
    <w:p>
      <w:pPr>
        <w:ind w:left="1220" w:right="80" w:hanging="197"/>
        <w:spacing w:after="0" w:line="287" w:lineRule="auto"/>
        <w:tabs>
          <w:tab w:leader="none" w:pos="12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number, initiation, progress, timing, costs, design, duration, any potential delays, and results of clinical trials and nonclinical studies for our current or future product candidates;</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development plans that we establish for these product candidates;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and programs that we develop or may in-license;</w:t>
      </w:r>
    </w:p>
    <w:p>
      <w:pPr>
        <w:spacing w:after="0" w:line="93" w:lineRule="exact"/>
        <w:rPr>
          <w:rFonts w:ascii="Times New Roman" w:cs="Times New Roman" w:eastAsia="Times New Roman" w:hAnsi="Times New Roman"/>
          <w:sz w:val="14"/>
          <w:szCs w:val="14"/>
          <w:color w:val="auto"/>
        </w:rPr>
      </w:pPr>
    </w:p>
    <w:p>
      <w:pPr>
        <w:jc w:val="both"/>
        <w:ind w:left="1220" w:right="80" w:hanging="197"/>
        <w:spacing w:after="0" w:line="270" w:lineRule="auto"/>
        <w:tabs>
          <w:tab w:leader="none" w:pos="12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regulatory reviews, approvals or other actions to meet regulatory requirements established by the U.S. Food and Drug Administration (“FDA”) and comparable foreign regulatory authorities, including the potential for the FDA or comparable foreign regulatory authorities to require that we perform more studies for our product candidates than those that we currently expect;</w:t>
      </w:r>
    </w:p>
    <w:p>
      <w:pPr>
        <w:spacing w:after="0" w:line="5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marketing approval for our product candidates;</w:t>
      </w:r>
    </w:p>
    <w:p>
      <w:pPr>
        <w:spacing w:after="0" w:line="93" w:lineRule="exact"/>
        <w:rPr>
          <w:rFonts w:ascii="Times New Roman" w:cs="Times New Roman" w:eastAsia="Times New Roman" w:hAnsi="Times New Roman"/>
          <w:sz w:val="14"/>
          <w:szCs w:val="14"/>
          <w:color w:val="auto"/>
        </w:rPr>
      </w:pPr>
    </w:p>
    <w:p>
      <w:pPr>
        <w:ind w:left="1220" w:hanging="197"/>
        <w:spacing w:after="0" w:line="287" w:lineRule="auto"/>
        <w:tabs>
          <w:tab w:leader="none" w:pos="12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 covering our product candidates, including any such patent claims and intellectual property rights that we have licensed from Genzyme pursuant to the terms of our license agreement with Genzyme or from other third parties;</w:t>
      </w:r>
    </w:p>
    <w:p>
      <w:pPr>
        <w:spacing w:after="0" w:line="39" w:lineRule="exact"/>
        <w:rPr>
          <w:rFonts w:ascii="Times New Roman" w:cs="Times New Roman" w:eastAsia="Times New Roman" w:hAnsi="Times New Roman"/>
          <w:sz w:val="14"/>
          <w:szCs w:val="14"/>
          <w:color w:val="auto"/>
        </w:rPr>
      </w:pPr>
    </w:p>
    <w:p>
      <w:pPr>
        <w:ind w:left="1220" w:right="460" w:hanging="197"/>
        <w:spacing w:after="0" w:line="287" w:lineRule="auto"/>
        <w:tabs>
          <w:tab w:leader="none" w:pos="12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cost of defending intellectual property disputes, including patent infringement actions brought by third parties against us or our product candidates;</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completion of commercial-scale manufacturing activities with respect to our product candidates;</w:t>
      </w:r>
    </w:p>
    <w:p>
      <w:pPr>
        <w:spacing w:after="0" w:line="93" w:lineRule="exact"/>
        <w:rPr>
          <w:rFonts w:ascii="Times New Roman" w:cs="Times New Roman" w:eastAsia="Times New Roman" w:hAnsi="Times New Roman"/>
          <w:sz w:val="14"/>
          <w:szCs w:val="14"/>
          <w:color w:val="auto"/>
        </w:rPr>
      </w:pPr>
    </w:p>
    <w:p>
      <w:pPr>
        <w:ind w:left="1220" w:right="860" w:hanging="197"/>
        <w:spacing w:after="0" w:line="287" w:lineRule="auto"/>
        <w:tabs>
          <w:tab w:leader="none" w:pos="12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spacing w:after="0" w:line="39" w:lineRule="exact"/>
        <w:rPr>
          <w:rFonts w:ascii="Times New Roman" w:cs="Times New Roman" w:eastAsia="Times New Roman" w:hAnsi="Times New Roman"/>
          <w:sz w:val="14"/>
          <w:szCs w:val="14"/>
          <w:color w:val="auto"/>
        </w:rPr>
      </w:pPr>
    </w:p>
    <w:p>
      <w:pPr>
        <w:ind w:left="1220" w:right="200" w:hanging="197"/>
        <w:spacing w:after="0" w:line="287" w:lineRule="auto"/>
        <w:tabs>
          <w:tab w:leader="none" w:pos="12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 candidates for which we may receive regulatory approval in regions where we choose to commercialize our products on our own;</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any other business, product or technology that we acquire or in which we invest;</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hire additional management and scientific and medical personnel;</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product candidates, to the extent any are approved for commercial sale;</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to operate as a public company; and</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33" w:right="379" w:bottom="1440" w:gutter="0" w:footer="0" w:header="0"/>
        </w:sectPr>
      </w:pPr>
    </w:p>
    <w:bookmarkStart w:id="28" w:name="page29"/>
    <w:bookmarkEnd w:id="28"/>
    <w:p>
      <w:pPr>
        <w:ind w:left="1220" w:right="40" w:hanging="197"/>
        <w:spacing w:after="0" w:line="287" w:lineRule="auto"/>
        <w:tabs>
          <w:tab w:leader="none" w:pos="12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12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investors, restrict our operations or require us to relinquish rights to our technologies or product candidates. Future debt obligations may expose us to risks that could adversely affect our business, operating results and financial condition and may result in further dilution to our stockholders.</w:t>
      </w:r>
    </w:p>
    <w:p>
      <w:pPr>
        <w:ind w:right="20"/>
        <w:spacing w:after="0" w:line="254"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we expect to finance our cash needs through public or private equity or debt financings, third-party funding, marketing and distribution arrangements, as well as other collaborations, strategic alliances and licensing arrangements, or any combination of these approaches. Other than our common stock purchase agreement with Lincoln Park Capital Fund LLC (“Lincoln Park”), pursuant to which Lincoln Park is obligated, subject to certain limitations and conditions, to purchase up to $50.0 million in the aggregate of shares of our common stock, we do not have any committed external sources of funds and may seek to raise additional capital at any time.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Debt financing, if available, may involve agreements that include covenants limiting or restricting our ability to take specific actions, such as incurring additional debt, making capital expenditures, declaring dividends or other distributions, acquiring or licensing intellectual property rights and other operating restrictions that could adversely impact our ability to conduct our business and may result in liens being placed on additional assets such as intellectual property. For example, our debt facility with Hercules contains a minimum cash financial covenant that we project we would be in violation of in the first quarter of 2024 based on our current cash flow projections, assuming we do not raise additional funding. If we default on such indebtedness, with Hercules or a future lender, we could be required to pledge additional assets, or the lenders could enforce remedies on the current collateral.</w:t>
      </w:r>
    </w:p>
    <w:p>
      <w:pPr>
        <w:spacing w:after="0" w:line="1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we raise additional funds through licensing, collaboration or similar arrangements with third parties, we may have to relinquish valuable rights to our technologies, future revenue streams, research and development programs or product candidates or grant licenses on terms that are not favorable to us. If we are unable to raise additional funds through equity or debt financings or through licensing, collaboration or similar arrangements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not generated revenues from any product sales since inception and may never become profitable.</w:t>
      </w:r>
    </w:p>
    <w:p>
      <w:pPr>
        <w:spacing w:after="0" w:line="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To date, we have not generated revenues from any product sales. Our ability to generate revenue and become profitable depends upon our ability to successfully obtain marketing approval and commercialize our product candidates, including mavorixafor, or other product candidates that we may develop, in-license or acquire in the future. Even if we are able to successfully achieve regulatory approval for these product candidates, we are unable to predict the extent of any future losses and do not know when any of these product candidates will generate revenue for us, if at all. Our ability to generate revenue from mavorixafor or any of our current or future product candidates also depends on a number of additional factors, including our ability to:</w:t>
      </w:r>
    </w:p>
    <w:p>
      <w:pPr>
        <w:spacing w:after="0" w:line="60" w:lineRule="exact"/>
        <w:rPr>
          <w:sz w:val="20"/>
          <w:szCs w:val="20"/>
          <w:color w:val="auto"/>
        </w:rPr>
      </w:pPr>
    </w:p>
    <w:p>
      <w:pPr>
        <w:ind w:left="1220" w:hanging="197"/>
        <w:spacing w:after="0"/>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complete development activities, including all necessary nonclinical studies and clinical trials;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and submit New Drug Applications to the FDA and obtain regulatory approval for indications for which there is a commercial market;</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and submit marketing applications to, and obtain regulatory approval from, foreign regulatory authorities;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and obtain a commercially viable price for our products;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commercial quantities of our products at acceptable cost levels;</w:t>
      </w:r>
    </w:p>
    <w:p>
      <w:pPr>
        <w:spacing w:after="0" w:line="93" w:lineRule="exact"/>
        <w:rPr>
          <w:rFonts w:ascii="Times New Roman" w:cs="Times New Roman" w:eastAsia="Times New Roman" w:hAnsi="Times New Roman"/>
          <w:sz w:val="14"/>
          <w:szCs w:val="14"/>
          <w:color w:val="auto"/>
        </w:rPr>
      </w:pPr>
    </w:p>
    <w:p>
      <w:pPr>
        <w:ind w:left="1220" w:right="700" w:hanging="197"/>
        <w:spacing w:after="0" w:line="287" w:lineRule="auto"/>
        <w:tabs>
          <w:tab w:leader="none" w:pos="12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 commercial organization capable of sales, marketing and distribution for the products we intend to sell ourselves in the markets in which we have retained commercialization rights;</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find suitable collaborators to help us market, sell and distribute our approved products in other markets; and</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coverage and adequate reimbursement from third-party, including government, payors.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28" w:right="379" w:bottom="1440" w:gutter="0" w:footer="0" w:header="0"/>
        </w:sectPr>
      </w:pPr>
    </w:p>
    <w:bookmarkStart w:id="29" w:name="page30"/>
    <w:bookmarkEnd w:id="29"/>
    <w:p>
      <w:pPr>
        <w:ind w:right="100"/>
        <w:spacing w:after="0" w:line="259" w:lineRule="auto"/>
        <w:rPr>
          <w:sz w:val="20"/>
          <w:szCs w:val="20"/>
          <w:color w:val="auto"/>
        </w:rPr>
      </w:pPr>
      <w:r>
        <w:rPr>
          <w:rFonts w:ascii="Times New Roman" w:cs="Times New Roman" w:eastAsia="Times New Roman" w:hAnsi="Times New Roman"/>
          <w:sz w:val="14"/>
          <w:szCs w:val="14"/>
          <w:color w:val="auto"/>
        </w:rPr>
        <w:t>In addition, because of the numerous risks and uncertainties associated with product development, including the possibility that our product candidates may not advance through development or demonstrate safety and efficacy for their intended uses, the FDA or any other regulatory agency may require additional clinical trials or nonclinical studies. We are unable to predict the timing or amount of increased expenses, or when or if we will be able to achieve or maintain profitability, and such expense could increase beyond our expectations if the FDA or any other regulatory agency requires such additional clinical trials or nonclinical studies as part of the application and approval process or post-approval process if we are successful at achieving regulatory approval. Even if we are able to successfully complete the development and regulatory reviews described above, we anticipate incurring significant costs associated with commercializing these products, if they are approved.</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Even if we are able to generate revenues from the sale of our product candidates,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 If we do achieve profitability, we may not be able to sustain or increase profitability on a quarterly or annual basis. Our failure to become and remain profitable would decrease the value of the company and could impair our ability to raise capital, maintain our discovery and preclinical development efforts, expand our business or continue our operations and may require us to raise additional capital that may dilute your ownership interest. A decline in our value could also cause you to lose all or part of your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estimates regarding fair value of intangible assets may result in an adverse impact on our results of operations.</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test goodwill for impairment annually or more frequently if changes in circumstances or the occurrence of events suggest impairment exists. Any significant change in market conditions, including a sustained decline in our stock price, that indicate a reduction in carrying value may give rise to impairment in the period that the change becomes known. For example, as of December 31, 2021, our market capitalization, measured as the price of our common stock multiplied by shares of common stock outstanding, declined to below the value of our net assets, including goodwill. As a result of the sustained decline in the market price of our common stock, the fair value of our single reporting unit, measured based on our market capitalization as of December 31, 2021, was lower than its carrying value and we concluded that goodwill was impaired. Accordingly, we recorded an impairment charge of $9.8 million to reduce the carrying amount of goodwill to $17.4 million as of December 31, 2021. While we determined that goodwill was not impaired based on its quantitative test as of December 31, 2022, future declines in the market value of our common stock may result in additional impairment charges being recorded.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of Our Product Candidates</w:t>
      </w:r>
    </w:p>
    <w:p>
      <w:pPr>
        <w:spacing w:after="0" w:line="94"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depend almost entirely on the success of our lead product candidate, mavorixafor, which we are developing for the potential treatment of chronic neutropenic disorders, including WHIM syndrome, and, contingent on a potential strategic partnership, for the treatment of Waldenström’s. We cannot be certain that we will be able to obtain regulatory approval for, or successfully commercialize, mavorixafor or any other product candidate.</w:t>
      </w:r>
    </w:p>
    <w:p>
      <w:pPr>
        <w:spacing w:after="0" w:line="13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Our business depends almost entirely on the successful clinical development, regulatory approval and commercialization of mavorixafor. We currently have no products for sale and may never be able to develop marketable drug products. The clinical trials of our product candidates are, and the manufacturing and marketing of our product candidates will be, subject to extensive and rigorous review and regulation by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56" w:lineRule="exact"/>
        <w:rPr>
          <w:sz w:val="20"/>
          <w:szCs w:val="20"/>
          <w:color w:val="auto"/>
        </w:rPr>
      </w:pPr>
    </w:p>
    <w:p>
      <w:pPr>
        <w:ind w:left="1220" w:hanging="197"/>
        <w:spacing w:after="0"/>
        <w:tabs>
          <w:tab w:leader="none" w:pos="1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dosages that will be well-tolerated, safe and effective;</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the development and scale-up to permit manufacture of our product candidates in commercial quantities and at acceptable costs;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demonstrating through pivotal clinical trials that each product candidate is safe and effective in patients for the intended indication;</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commercial manufacturing capabilities or making arrangements with third-party manufacturers; and</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and trade secret protection and non-patent exclusivity for our product candidates.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30" w:name="page31"/>
    <w:bookmarkEnd w:id="30"/>
    <w:p>
      <w:pPr>
        <w:ind w:right="120"/>
        <w:spacing w:after="0" w:line="264" w:lineRule="auto"/>
        <w:rPr>
          <w:sz w:val="20"/>
          <w:szCs w:val="20"/>
          <w:color w:val="auto"/>
        </w:rPr>
      </w:pPr>
      <w:r>
        <w:rPr>
          <w:rFonts w:ascii="Times New Roman" w:cs="Times New Roman" w:eastAsia="Times New Roman" w:hAnsi="Times New Roman"/>
          <w:sz w:val="14"/>
          <w:szCs w:val="14"/>
          <w:color w:val="auto"/>
        </w:rPr>
        <w:t>The time necessary to achieve these developmental milestones for any individual product candidate is long and uncertain, and we may not successfully complete these milestones for mavorixafor or any other product candidates that we may develop. We have not yet completed development of any product candidate. We also may not be able to finalize the design or formulation for our other programs. We may not be able to complete development of any product candidates that demonstrate safety and efficacy and that will have a commercially reasonable treatment and storage period. If we are unable to complete development of mavorixafor or any other product candidates that we may develop, we will not be able to commercialize and earn revenue from them.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develop mavorixafor, and potentially future product candidates, in combination with other therapies, which could expose us to additional risks.</w:t>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may develop mavorixafor, and may develop future product candidates, in combination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diseases, and we would be subject to similar risks if we develop any of our product candidates for use in combination with other drugs. This could result in our own products being removed from the market or being less successful commercially.</w:t>
      </w:r>
    </w:p>
    <w:p>
      <w:pPr>
        <w:spacing w:after="0" w:line="16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may also evaluate mavorixafor or any other future product candidates in combination with one or more other cancer therapies that have not yet been approved for marketing by the FDA or similar regulatory authorities outside of the United States. We will not be able to market and sell mavorixafor or any product candidate we develop in combination with any such unapproved therapies that do not ultimately obtain marketing approval.</w:t>
      </w:r>
    </w:p>
    <w:p>
      <w:pPr>
        <w:spacing w:after="0" w:line="157"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If the FDA or similar regulatory authorities outside of the United States do not approve these other drugs or revoke their approval of, or if safety, efficacy, manufacturing or supply issues arise with, the drugs that we choose to evaluate in combination with mavorixafor or any product candidate we develop, we may be unable to obtain approval of or market mavorixafor or any product candidate we develop.</w:t>
      </w:r>
    </w:p>
    <w:p>
      <w:pPr>
        <w:spacing w:after="0" w:line="15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The regulatory review and approval processes of the FDA and comparable foreign regulatory authorities are lengthy, time-consuming and inherently unpredictable, and if we are ultimately unable to obtain regulatory approval for our product candidates, including mavorixafor, our business will be substantially harmed.</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4"/>
          <w:szCs w:val="14"/>
          <w:color w:val="auto"/>
        </w:rPr>
        <w:t>We are not permitted to market mavorixafor or any other product candidate in the United States until we receive approval of an New Drug Application (“NDA”) from the FDA, or in any foreign countries until we receive the requisite approval from such countries or jurisdictions, such as the marketing authorization application (“MAA”) in the European Union from the European Medicines Agency (“EMA”). Prior to submitting an NDA to the FDA for approval of mavorixafor for the treatment of WHIM syndrome, we will need to complete the analysis of the data collected in our Phase 3 pivotal clinical trial of mavorixafor in patients with WHIM syndrome. Our NDA submission may receive a refusal to file response from the FDA, and even if filed by the FDA, we may receive a Complete Response Letter rather than approval for commercial marketing. In addition, we may be required by the FDA to conduct additional clinical trials and/or nonclinical studies to support potential approval. Successfully completing clinical trials and obtaining approval of an NDA is a complex, lengthy, expensive and uncertain process, and the FDA, or a comparable foreign regulatory authority, may delay, limit or deny approval of mavorixafor for the treatment of WHIM syndrome or other indications for many reasons, including, among others:</w:t>
      </w:r>
    </w:p>
    <w:p>
      <w:pPr>
        <w:spacing w:after="0" w:line="63" w:lineRule="exact"/>
        <w:rPr>
          <w:sz w:val="20"/>
          <w:szCs w:val="20"/>
          <w:color w:val="auto"/>
        </w:rPr>
      </w:pPr>
    </w:p>
    <w:p>
      <w:pPr>
        <w:ind w:left="1220" w:hanging="197"/>
        <w:spacing w:after="0"/>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the design or implementation of our clinical trials;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the sufficiency of our clinical trials;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the safety and efficacy of mavorixafor or any other product candidate for its proposed indications;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any clinical and other benefits of mavorixafor or any other product candidate outweigh its safety risks;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negative interpretation of the data from our nonclinical studies or clinical trials;</w:t>
      </w:r>
    </w:p>
    <w:p>
      <w:pPr>
        <w:spacing w:after="0" w:line="93" w:lineRule="exact"/>
        <w:rPr>
          <w:rFonts w:ascii="Times New Roman" w:cs="Times New Roman" w:eastAsia="Times New Roman" w:hAnsi="Times New Roman"/>
          <w:sz w:val="14"/>
          <w:szCs w:val="14"/>
          <w:color w:val="auto"/>
        </w:rPr>
      </w:pPr>
    </w:p>
    <w:p>
      <w:pPr>
        <w:ind w:left="1220" w:right="220" w:hanging="197"/>
        <w:spacing w:after="0" w:line="287" w:lineRule="auto"/>
        <w:tabs>
          <w:tab w:leader="none" w:pos="12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deficiencies in the manufacturing or control processes or failure of third-party manufacturing facilities with which we contract for clinical and commercial supplies to comply with current Good Manufacturing Practice requirements, or cGMPs;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1" w:name="page32"/>
    <w:bookmarkEnd w:id="31"/>
    <w:p>
      <w:pPr>
        <w:ind w:left="1220" w:right="80" w:hanging="197"/>
        <w:spacing w:after="0" w:line="287" w:lineRule="auto"/>
        <w:tabs>
          <w:tab w:leader="none" w:pos="12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insufficient data collected from clinical trials of mavorixafor or changes in the approval requirements that render its nonclinical and clinical data insufficient to support the filing of an NDA or to obtain regulatory approval; or</w:t>
      </w:r>
    </w:p>
    <w:p>
      <w:pPr>
        <w:spacing w:after="0" w:line="39" w:lineRule="exact"/>
        <w:rPr>
          <w:rFonts w:ascii="Times New Roman" w:cs="Times New Roman" w:eastAsia="Times New Roman" w:hAnsi="Times New Roman"/>
          <w:sz w:val="14"/>
          <w:szCs w:val="14"/>
          <w:color w:val="auto"/>
        </w:rPr>
      </w:pPr>
    </w:p>
    <w:p>
      <w:pPr>
        <w:ind w:left="1220" w:right="140" w:hanging="197"/>
        <w:spacing w:after="0" w:line="287" w:lineRule="auto"/>
        <w:tabs>
          <w:tab w:leader="none" w:pos="12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clinical practice in or approved products available for the treatment of the target patient population that could have an impact on the indications that we are pursuing for mavorixafor or our other product candidates.</w:t>
      </w:r>
    </w:p>
    <w:p>
      <w:pPr>
        <w:spacing w:after="0" w:line="1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FDA or a comparable foreign regulatory authority may also require more information, including additional nonclinical or clinical data to support approval, which may delay or prevent approval of our commercialization plans, or cause us to abandon the development program. Even if we obtain regulatory approval, our product candidates may be approved for fewer or more limited indications than we request, such approval may be contingent on the performance of costly post-marketing clinical trials, or we may not be allowed to include the labeling claims necessary or desirable for the successful commercialization of such product candidate. For instance, it is possible that mavorixafor could be approved for an indication but fail to be used for treating patients in that indication due to the availability of other available treatments or then-accepted clinical practice.</w:t>
      </w:r>
    </w:p>
    <w:p>
      <w:pPr>
        <w:spacing w:after="0" w:line="14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We depend on license agreements with Genzyme, Beth Israel Deaconess Medical Center, Georgetown University and Dana-Farber Cancer Institute to permit us to use patents and patent applications. Termination of these rights or the failure to comply with obligations under these agreements could materially harm our business and prevent us from developing or commercializing our product candidates.</w:t>
      </w:r>
    </w:p>
    <w:p>
      <w:pPr>
        <w:spacing w:after="0" w:line="257" w:lineRule="auto"/>
        <w:rPr>
          <w:sz w:val="20"/>
          <w:szCs w:val="20"/>
          <w:color w:val="auto"/>
        </w:rPr>
      </w:pPr>
      <w:r>
        <w:rPr>
          <w:rFonts w:ascii="Times New Roman" w:cs="Times New Roman" w:eastAsia="Times New Roman" w:hAnsi="Times New Roman"/>
          <w:sz w:val="14"/>
          <w:szCs w:val="14"/>
          <w:color w:val="auto"/>
        </w:rPr>
        <w:t>We are party to license agreements with Genzyme, Beth Israel Deaconess Medical Center, Georgetown University and Dana-Farber Cancer Institute under which we were granted rights to patents and patent applications that are important to our business. We rely on these license agreements in order to be able to use various proprietary technologies that are material to our business, including certain patents and patent applications that cover our product candidates, including mavorixafor. Our rights to use these patents and patent applications and employ the inventions claimed in these licensed patents are subject to the continuation of and our compliance with the terms of our license 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license agreement with Genzyme imposes upon us various diligence, payment and other obligations, including the following:</w:t>
      </w:r>
    </w:p>
    <w:p>
      <w:pPr>
        <w:spacing w:after="0" w:line="94" w:lineRule="exact"/>
        <w:rPr>
          <w:sz w:val="20"/>
          <w:szCs w:val="20"/>
          <w:color w:val="auto"/>
        </w:rPr>
      </w:pPr>
    </w:p>
    <w:p>
      <w:pPr>
        <w:ind w:left="1220" w:right="200" w:hanging="197"/>
        <w:spacing w:after="0" w:line="287" w:lineRule="auto"/>
        <w:tabs>
          <w:tab w:leader="none" w:pos="12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to pay Genzyme milestone payments in the aggregate amount of up to $25.0 million, contingent upon our achievement of certain late-stage regulatory and sales milestones with respect to licensed products.</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to pay Genzyme tiered royalties based on net sales of licensed products that we commercialize under the agreement.</w:t>
      </w:r>
    </w:p>
    <w:p>
      <w:pPr>
        <w:spacing w:after="0" w:line="93" w:lineRule="exact"/>
        <w:rPr>
          <w:rFonts w:ascii="Times New Roman" w:cs="Times New Roman" w:eastAsia="Times New Roman" w:hAnsi="Times New Roman"/>
          <w:sz w:val="14"/>
          <w:szCs w:val="14"/>
          <w:color w:val="auto"/>
        </w:rPr>
      </w:pPr>
    </w:p>
    <w:p>
      <w:pPr>
        <w:ind w:left="1220" w:right="60" w:hanging="197"/>
        <w:spacing w:after="0" w:line="287" w:lineRule="auto"/>
        <w:tabs>
          <w:tab w:leader="none" w:pos="12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to pay Genzyme a certain percentage of cash payments received by us or our affiliates in consideration for the grant of a sublicense under the license granted to us by Genzyme.</w:t>
      </w:r>
    </w:p>
    <w:p>
      <w:pPr>
        <w:spacing w:after="0" w:line="12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If we fail to comply with any of our obligations under the Genzyme license agreement, or we are subject to a bankruptcy, Genzyme may have the right to terminate the license agreement, in which event we would not be able to market any product candidates covered by the license.</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Prior to July 2014, we did not control the prosecution, maintenance, or filing of the patents and patent applications that are licensed to us under the Genzyme license agreement, or the enforcement of these patents and patent applications against infringement by third parties. Thus, these patents and patent applications were not drafted by us or our attorneys, and we did not control or have any input into the prosecution of these patents and patent applications prior to our execution of the Genzyme license agreement in July 2014. Under the terms of the license agreement with Genzyme, since July 2014, we have controlled the right to control the prosecution, maintenance, and filing of the patents and patent applications that are licensed to us, and the enforcement of these patents and patent applications against infringement by third parties. However, we cannot be certain that the same level of attention was given to the drafting and prosecution of these patents and patent applications as we may have used if we had control over the drafting and prosecution of such patents and patent applications. We also cannot be certain that drafting or prosecution of the patents and patent applications licensed to us has been conducted in compliance with applicable laws and regulations or will result in valid and enforceable patents.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2" w:name="page33"/>
    <w:bookmarkEnd w:id="32"/>
    <w:p>
      <w:pPr>
        <w:spacing w:after="0" w:line="264" w:lineRule="auto"/>
        <w:rPr>
          <w:sz w:val="20"/>
          <w:szCs w:val="20"/>
          <w:color w:val="auto"/>
        </w:rPr>
      </w:pPr>
      <w:r>
        <w:rPr>
          <w:rFonts w:ascii="Times New Roman" w:cs="Times New Roman" w:eastAsia="Times New Roman" w:hAnsi="Times New Roman"/>
          <w:sz w:val="14"/>
          <w:szCs w:val="14"/>
          <w:color w:val="auto"/>
        </w:rPr>
        <w:t>Pursuant to our license agreement with Beth Israel Deaconess Medical Center, we paid an upfront, one-time fee for the rights granted by the license agreement. This license agreement imposes upon us various obligations, including the requirement to provide Beth Israel Deaconess Medical Center with progress reports at regular intervals and to maintain specified levels of insurance. Beth Israel Deaconess Medical Center may terminate the agreement for our non-payment, insolvency or default of material obligations. We have the right to terminate the agreement for any reason upon 90 days’ advance written notice.</w:t>
      </w:r>
    </w:p>
    <w:p>
      <w:pPr>
        <w:spacing w:after="0" w:line="14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license agreement with Georgetown imposes upon us various diligence, payment and other obligations, including our obligations to pay Georgetown milestone payments in the aggregate amount of up to $0.8 million, contingent upon our achievement of certain sales milestones with respect to licensed products, to deliver reports upon certain events and at regular intervals and to maintain customary levels of insurance. Georgetown may terminate the agreement for our non-payment, insolvency, failure to maintain insurance or default of material obligations. We have the right to terminate the agreement for any reason upon 60 days advance written notice.</w:t>
      </w:r>
    </w:p>
    <w:p>
      <w:pPr>
        <w:spacing w:after="0" w:line="16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Our license agreement with the Dana-Farber Cancer Institute (“DFCI”) imposes upon us various diligence, payment and other obligations, including our obligations to pay DFCI milestone payments in the aggregate amount of up to approximately $32 million, contingent upon our achievement of certain regulatory and sales milestones with respect to licensed products, to deliver reports at regular intervals and to maintain certain minimum levels of insurance. DFCI may terminate the agreement if (i) we cease to carry on our business with respect to the licensed products, (ii) we default on diligence, insurance, payment or any other material obligations, (iii) one of our officers or that of a sublicensee is convicted of a felony relating to the manufacture, use, sale or importation of one or more licensed product, (iv) we become insolvent, (v) we grant a sublicense without notifying DFCI or on terms inconsistent with the terms required of sublicenses under the agreement or (vi) we bring a patent challenge against the licensed products. We have the right to terminate the agreement for any reason upon 90 days advance written notice.</w:t>
      </w:r>
    </w:p>
    <w:p>
      <w:pPr>
        <w:spacing w:after="0" w:line="14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Disputes may arise under any of our license agreements with Genzyme, Beth Israel Deaconess Medical Center, Georgetown University and/or Dana-Farber Cancer Institute regarding the intellectual property that is subject to such license agreement, including:</w:t>
      </w:r>
    </w:p>
    <w:p>
      <w:pPr>
        <w:spacing w:after="0" w:line="39" w:lineRule="exact"/>
        <w:rPr>
          <w:sz w:val="20"/>
          <w:szCs w:val="20"/>
          <w:color w:val="auto"/>
        </w:rPr>
      </w:pPr>
    </w:p>
    <w:p>
      <w:pPr>
        <w:ind w:left="1220" w:hanging="197"/>
        <w:spacing w:after="0"/>
        <w:tabs>
          <w:tab w:leader="none" w:pos="1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applicable license agreement and other interpretation-related issues;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that is not subject to the applicable license agreement;</w:t>
      </w:r>
    </w:p>
    <w:p>
      <w:pPr>
        <w:spacing w:after="0" w:line="93" w:lineRule="exact"/>
        <w:rPr>
          <w:rFonts w:ascii="Times New Roman" w:cs="Times New Roman" w:eastAsia="Times New Roman" w:hAnsi="Times New Roman"/>
          <w:sz w:val="14"/>
          <w:szCs w:val="14"/>
          <w:color w:val="auto"/>
        </w:rPr>
      </w:pPr>
    </w:p>
    <w:p>
      <w:pPr>
        <w:ind w:left="1220" w:right="320" w:hanging="197"/>
        <w:spacing w:after="0" w:line="287" w:lineRule="auto"/>
        <w:tabs>
          <w:tab w:leader="none" w:pos="12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under the applicable license agreement to develop and commercialize products and technologies, including the level of effort and specific activities that will satisfy those diligence obligations; and</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us and our collaborators.</w:t>
      </w:r>
    </w:p>
    <w:p>
      <w:pPr>
        <w:spacing w:after="0" w:line="17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prevent or impair our ability to maintain any of our license agreements on acceptable terms, we may be unable to successfully develop and commercialize the affected product candidates and technologies.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results of clinical trials may not support our product candidate claims.</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Even if our clinical trials are completed as planned, we cannot be certain that their results will support the proposed product candidates, that the FDA or foreign government authorities will agree with our conclusions regarding such results, or that the FDA or foreign governmental authorities will not require additional clinical trials. Success in preclinical testing and early clinical trials does not ensure that later clinical trials will be successful and the results of later clinical trials often do not replicate the results of prior clinical trials and preclinical testing. The clinical trial results may fail to demonstrate that our product candidates are safe for humans and effective for the intended indications. This failure could cause us to abandon a product candidate and may delay development of other product candidates. Any delay in, or termination of, our clinical trials will delay or prevent the submission of our marketing applications (NDA and/or MAA) and, ultimately, our ability to obtain approval and commercialize our product candidates and generate product revenues. Information about certain clinical trials, including results (positive or negative) will be made public according to each country’s clinical trial register policies. Competitors may use this publicly available information to gain knowledge regarding the progress of development programs.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3" w:name="page34"/>
    <w:bookmarkEnd w:id="33"/>
    <w:p>
      <w:pPr>
        <w:ind w:right="20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Delays in our clinical trials may lead to a delay in the submission of our marketing approval application and jeopardize our ability to potentially receive approvals and generate revenues from the sale of our products.</w:t>
      </w:r>
    </w:p>
    <w:p>
      <w:pPr>
        <w:ind w:right="180"/>
        <w:spacing w:after="0" w:line="259" w:lineRule="auto"/>
        <w:rPr>
          <w:sz w:val="20"/>
          <w:szCs w:val="20"/>
          <w:color w:val="auto"/>
        </w:rPr>
      </w:pPr>
      <w:r>
        <w:rPr>
          <w:rFonts w:ascii="Times New Roman" w:cs="Times New Roman" w:eastAsia="Times New Roman" w:hAnsi="Times New Roman"/>
          <w:sz w:val="14"/>
          <w:szCs w:val="14"/>
          <w:color w:val="auto"/>
        </w:rPr>
        <w:t>We may experience delays in our current or future clinical trials, including our Phase 2 clinical trial of mavorixafor for the treatment of chronic neutropenic disorders. As a result of the ongoing COVID-19 pandemic, we experienced delays in clinical trial site activation and slower patient enrollment in our clinical trials of mavorixafor for the treatment of WHIM syndrome, Waldenström’s and chronic neutropenia disorders. Clinical trials may be delayed, suspended or terminated for a variety of reasons, including the following:</w:t>
      </w:r>
    </w:p>
    <w:p>
      <w:pPr>
        <w:spacing w:after="0" w:line="59" w:lineRule="exact"/>
        <w:rPr>
          <w:sz w:val="20"/>
          <w:szCs w:val="20"/>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with the FDA or a comparable foreign regulatory authority on a trial design that we are able to execute;</w:t>
      </w:r>
    </w:p>
    <w:p>
      <w:pPr>
        <w:spacing w:after="0" w:line="93" w:lineRule="exact"/>
        <w:rPr>
          <w:rFonts w:ascii="Times New Roman" w:cs="Times New Roman" w:eastAsia="Times New Roman" w:hAnsi="Times New Roman"/>
          <w:sz w:val="14"/>
          <w:szCs w:val="14"/>
          <w:color w:val="auto"/>
        </w:rPr>
      </w:pPr>
    </w:p>
    <w:p>
      <w:pPr>
        <w:ind w:left="1220" w:right="20" w:hanging="197"/>
        <w:spacing w:after="0" w:line="287" w:lineRule="auto"/>
        <w:tabs>
          <w:tab w:leader="none" w:pos="12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authorization to commence a trial or inability to comply with conditions imposed by a regulatory authority regarding the scope or design of a clinical trial;</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delay or failure in identifying and maintaining a sufficient number of trial sites, many of which may already be engaged in competing clinical trial programs;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recruiting and enrolling suitable subjects to participate in a trial;</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having subjects complete a trial or return for post-treatment follow-up;</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and investigators deviating from trial protocol, failing to conduct the trial in accordance with regulatory requirements, or dropping out of a trial;</w:t>
      </w:r>
    </w:p>
    <w:p>
      <w:pPr>
        <w:spacing w:after="0" w:line="93" w:lineRule="exact"/>
        <w:rPr>
          <w:rFonts w:ascii="Times New Roman" w:cs="Times New Roman" w:eastAsia="Times New Roman" w:hAnsi="Times New Roman"/>
          <w:sz w:val="14"/>
          <w:szCs w:val="14"/>
          <w:color w:val="auto"/>
        </w:rPr>
      </w:pPr>
    </w:p>
    <w:p>
      <w:pPr>
        <w:ind w:left="1220" w:right="80" w:hanging="197"/>
        <w:spacing w:after="0" w:line="287" w:lineRule="auto"/>
        <w:tabs>
          <w:tab w:leader="none" w:pos="12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on acceptable terms with prospective clinical research organizations (“CROs”) and clinical trial sites, the terms of which can be subject to extensive negotiation and may vary significantly among different CROs and trial sites;</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institutional review board (“IRB”) approval to conduct a clinical trial at each site;</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resulting from negative or equivocal findings of the Data Safety Monitoring Board (“DSMB”) if any;</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ambiguous or negative results;</w:t>
      </w:r>
    </w:p>
    <w:p>
      <w:pPr>
        <w:spacing w:after="0" w:line="93" w:lineRule="exact"/>
        <w:rPr>
          <w:rFonts w:ascii="Times New Roman" w:cs="Times New Roman" w:eastAsia="Times New Roman" w:hAnsi="Times New Roman"/>
          <w:sz w:val="14"/>
          <w:szCs w:val="14"/>
          <w:color w:val="auto"/>
        </w:rPr>
      </w:pPr>
    </w:p>
    <w:p>
      <w:pPr>
        <w:ind w:left="1220" w:right="260" w:hanging="197"/>
        <w:spacing w:after="0" w:line="287" w:lineRule="auto"/>
        <w:tabs>
          <w:tab w:leader="none" w:pos="12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 by the FDA, a comparable foreign regulatory authority, or recommendation by a DSMB to suspend or terminate clinical trials at any time for safety issues or for any other reason;</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drug product for use in nonclinical studies or clinical trials;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adequate funding to continue the product development program;</w:t>
      </w:r>
    </w:p>
    <w:p>
      <w:pPr>
        <w:spacing w:after="0" w:line="93" w:lineRule="exact"/>
        <w:rPr>
          <w:rFonts w:ascii="Times New Roman" w:cs="Times New Roman" w:eastAsia="Times New Roman" w:hAnsi="Times New Roman"/>
          <w:sz w:val="14"/>
          <w:szCs w:val="14"/>
          <w:color w:val="auto"/>
        </w:rPr>
      </w:pPr>
    </w:p>
    <w:p>
      <w:pPr>
        <w:ind w:left="1220" w:right="480" w:hanging="197"/>
        <w:spacing w:after="0" w:line="287" w:lineRule="auto"/>
        <w:tabs>
          <w:tab w:leader="none" w:pos="12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business disruptions affecting the initiation, patient enrollment, development and operation of our clinical trials, including a public health emergency, such as the COVID-19 pandemic, and unforeseen events such as the war in Ukraine; or</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requirements.</w:t>
      </w:r>
    </w:p>
    <w:p>
      <w:pPr>
        <w:spacing w:after="0" w:line="17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enroll a sufficient number of patients in our clinical trials in a timely manner, which could delay or prevent clinical trials of our product candidates.</w:t>
      </w:r>
    </w:p>
    <w:p>
      <w:pPr>
        <w:spacing w:after="0" w:line="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Identifying and qualifying patients to participate in clinical trials of our product candidates is critical to our success. The timing of our clinical trials depends on the rate at which we can recruit, enroll and retain patients in testing our product candidates, and we have made certain assumptions about the rate at which we can enroll patients in our clinical trials. The timing of our clinical trials depends in part on the speed at which we can recruit patients to participate in testing mavorixafor and any other current or future product candidates that we may develop as well as completion of required follow-up periods. For example, as a result of the ongoing COVID-19 pandemic, we have experienced, and expect to continue to experience, a slower enrollment pace.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4" w:name="page35"/>
    <w:bookmarkEnd w:id="34"/>
    <w:p>
      <w:pPr>
        <w:ind w:right="180"/>
        <w:spacing w:after="0" w:line="264" w:lineRule="auto"/>
        <w:rPr>
          <w:sz w:val="20"/>
          <w:szCs w:val="20"/>
          <w:color w:val="auto"/>
        </w:rPr>
      </w:pPr>
      <w:r>
        <w:rPr>
          <w:rFonts w:ascii="Times New Roman" w:cs="Times New Roman" w:eastAsia="Times New Roman" w:hAnsi="Times New Roman"/>
          <w:sz w:val="14"/>
          <w:szCs w:val="14"/>
          <w:color w:val="auto"/>
        </w:rPr>
        <w:t>If we cannot identify patients to participate in our clinical trials or if patients are unwilling to participate in our clinical trials for any reason, including if patients choose to enroll in competitive clinical trials for similar patient populations, the timeline for recruiting patients, conducting studies and obtaining regulatory approval of mavorixafor and any other current or future product candidates that we may develop may be delayed. These delays could result in increased costs, delays in advancing our current or future product candidates, delays in testing the effectiveness of our product candidates or termination of the clinical trials altogether.</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may not be able to identify, recruit and enroll a sufficient number of patients, or those with required or desired characteristics to achieve diversity in a trial, to complete our current and future clinical trials in a timely manner. In particular, we are currently evaluating mavorixafor for the treatment of WHIM syndrome and chronic neutropenic disorders, rare diseases with limited patient pools from which to draw for clinical trials. The eligibility criteria of our clinical trials will further limit the pool of available trial participants. If we experience difficulty enrolling a sufficient number of patients to conduct our clinical trials as planned, we may be forced to delay, limit or terminate ongoing or planned clinical trials of our product candidates, which would delay our ability to obtain approvals and generate product revenues from any of these product candidates.</w:t>
      </w:r>
    </w:p>
    <w:p>
      <w:pPr>
        <w:spacing w:after="0" w:line="14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the commercial opportunity for mavorixafor in chronic neutropenic disorders, including WHIM syndrome, is smaller than we anticipate, our potential future revenue from mavorixafor for the treatment of any of the diseases may be adversely affected and our business may suffer.</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4"/>
          <w:szCs w:val="14"/>
          <w:color w:val="auto"/>
        </w:rPr>
        <w:t>If the size of the commercial opportunities in any of our target indications is smaller than we anticipate, we may not be able to achieve profitability and growth. Our lead clinical candidate, mavorixafor, is being developed as an oral, once-daily therapy for the potential treatment of a variety of chronic neutropenic disorders, including WHIM syndrome. We have advanced mavorixafor through a pivotal, Phase 3 clinical trial (the “4WHIM trial”) in people with WHIM syndrome, and are currently advancing mavorixafor in a Phase 2 clinical trial in people with certain chronic neutropenic disorders. We are currently aware of only a few small available patient registries for WHIM syndrome, and we rely on various estimates and assumptions to estimate the addressable WHIM syndrome population. Based on a broad online survey of physicians to validate current prevalence estimates and additional research using artificial intelligence, which interrogated a database of more than 300 million anonymized patient records that spanned 10 years of insurance claims, we estimate there are up to 3,700 diagnosed and undiagnosed WHIM patients in the United States, many of whom were previously undiagnosed. If the commercial opportunity in any of our target indications, including WHIM syndrome is smaller than we anticipate, whether because our estimates of the addressable patient population prove to be incorrect or for other reasons, our potential future revenue from mavorixafor may be adversely affected and our business may suffer.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 is critical to our ability to grow and become profitable that we successfully identify patients with WHIM syndrome and other chronic neutropenic disorders. Our projections of the number of people who have WHIM syndrome (or its other potential primary immunodeficiencies) and chronic neutropenic disorders are based on a variety of sources, including third-party estimates and analyses in the scientific literature, and may prove to be incorrect. Further, new information may emerge that changes our estimate of the prevalence of these diseases or the number of patient candidates for each disease. The effort to identify patients for treatment is at an early stage, and we cannot accurately predict the number of patients for whom treatment might be possible. Additionally, the addressable patient population for our indications may be limited or may not be amenable to treatment with mavorixafor, and new patients may become increasingly difficult to identify or gain access to, which would adversely affect our results of operations and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earlier clinical trials may not be predictive of the results of later-stage clinical trials.</w:t>
      </w:r>
    </w:p>
    <w:p>
      <w:pPr>
        <w:spacing w:after="0" w:line="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Inconsistencies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5" w:name="page36"/>
    <w:bookmarkEnd w:id="35"/>
    <w:p>
      <w:pPr>
        <w:ind w:right="34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ind w:right="40"/>
        <w:spacing w:after="0" w:line="255" w:lineRule="auto"/>
        <w:rPr>
          <w:sz w:val="20"/>
          <w:szCs w:val="20"/>
          <w:color w:val="auto"/>
        </w:rPr>
      </w:pPr>
      <w:r>
        <w:rPr>
          <w:rFonts w:ascii="Times New Roman" w:cs="Times New Roman" w:eastAsia="Times New Roman" w:hAnsi="Times New Roman"/>
          <w:sz w:val="14"/>
          <w:szCs w:val="14"/>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Marketing and Commercialization of Our Product Candidates</w:t>
      </w:r>
    </w:p>
    <w:p>
      <w:pPr>
        <w:spacing w:after="0" w:line="17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Even if our product candidates receive regulatory approval, they may still face future development and regulatory difficulties and any approved products will be subject to extensive post-approval regulatory requirements.</w:t>
      </w:r>
    </w:p>
    <w:p>
      <w:pPr>
        <w:spacing w:after="0" w:line="255" w:lineRule="auto"/>
        <w:rPr>
          <w:sz w:val="20"/>
          <w:szCs w:val="20"/>
          <w:color w:val="auto"/>
        </w:rPr>
      </w:pPr>
      <w:r>
        <w:rPr>
          <w:rFonts w:ascii="Times New Roman" w:cs="Times New Roman" w:eastAsia="Times New Roman" w:hAnsi="Times New Roman"/>
          <w:sz w:val="14"/>
          <w:szCs w:val="14"/>
          <w:color w:val="auto"/>
        </w:rPr>
        <w:t>If we obtain regulatory approval for a product candidate, it would be subject to extensive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and efficacy of any product will continue to be closely monitored by the FDA and comparable foreign regulatory authorities after approval. If the FDA or comparable foreign regulatory authorities become aware of new safety information after approval of any of our product candidates, these regulatory authorities may require labeling changes or the FDA may require establishment of a Risk Evaluation Mitigation Strategy (“REMS”), or similar strategy, impose significant restrictions on a product’s indicated uses or marketing, impose ongoing requirements for potentially costly post-approval studies or post-market surveillance. Progress reports are required at quarterly intervals, every six months and at annual intervals depending upon the country, and more frequently if serious adverse events occur.</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addition, manufacturers of drugs and their facilities are subject to continual review and periodic inspections by the FDA and other regulatory authorities for compliance with cGMP regulations. If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cGMPs and other applicable regulatory requirements, the FDA may, among other things:</w:t>
      </w:r>
    </w:p>
    <w:p>
      <w:pPr>
        <w:spacing w:after="0" w:line="58" w:lineRule="exact"/>
        <w:rPr>
          <w:sz w:val="20"/>
          <w:szCs w:val="20"/>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warning letters;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 modifications to promotional materials or require us to provide corrective information to healthcare practitioners;</w:t>
      </w:r>
    </w:p>
    <w:p>
      <w:pPr>
        <w:spacing w:after="0" w:line="93" w:lineRule="exact"/>
        <w:rPr>
          <w:rFonts w:ascii="Times New Roman" w:cs="Times New Roman" w:eastAsia="Times New Roman" w:hAnsi="Times New Roman"/>
          <w:sz w:val="14"/>
          <w:szCs w:val="14"/>
          <w:color w:val="auto"/>
        </w:rPr>
      </w:pPr>
    </w:p>
    <w:p>
      <w:pPr>
        <w:ind w:left="1220" w:right="60" w:hanging="197"/>
        <w:spacing w:after="0" w:line="287" w:lineRule="auto"/>
        <w:tabs>
          <w:tab w:leader="none" w:pos="12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enter into a consent decree, which can include imposition of various fines, reimbursements for inspection costs, required due dates for specific actions and penalties for noncompliance;</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an injunction or impose civil or criminal penalties or monetary fines;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approval;</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any ongoing clinical trials;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approve pending applications or supplements to applications filed by us;</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impose restrictions on operations, including costly new manufacturing requirements; or</w:t>
      </w:r>
    </w:p>
    <w:p>
      <w:pPr>
        <w:spacing w:after="0" w:line="9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or detain products, refuse to permit the import or export of products, or require us to initiate a product recall.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products and generate revenue.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6" w:name="page37"/>
    <w:bookmarkEnd w:id="36"/>
    <w:p>
      <w:pPr>
        <w:ind w:right="20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ind w:right="40"/>
        <w:spacing w:after="0" w:line="259" w:lineRule="auto"/>
        <w:rPr>
          <w:sz w:val="20"/>
          <w:szCs w:val="20"/>
          <w:color w:val="auto"/>
        </w:rPr>
      </w:pPr>
      <w:r>
        <w:rPr>
          <w:rFonts w:ascii="Times New Roman" w:cs="Times New Roman" w:eastAsia="Times New Roman" w:hAnsi="Times New Roman"/>
          <w:sz w:val="14"/>
          <w:szCs w:val="14"/>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A breakthrough therapy designation or Fast Track designation by the FDA for our product candidates may not lead to a faster development or regulatory review or approval process, and neither of these designations increases the likelihood that our product candidates will receive marketing approval.</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4"/>
          <w:szCs w:val="14"/>
          <w:color w:val="auto"/>
        </w:rPr>
        <w:t>We have obtained both breakthrough therapy and Fast Track designations for mavorixafor for the treatment of adult patients with WHIM and we may pursue those designations for other product candidates as well. A breakthrough therapy is defined as a product that is intended, alone or in combination with one or more other drugs, to treat a serious or life-threatening condition, and preliminary clinical evidence indicates that the product may demonstrate substantial improvement over existing therapies on one or more clinically significant endpoints. For product candidates that have been designated as breakthrough therapies, interaction and communication between the FDA and the sponsor of the trial can help identify the most efficient path for clinical development while minimizing the number of patients placed in ineffective control regimens. A breakthrough therapy designation affords the possibility of rolling review, enabling the FDA to review portions of our marketing application before submission of a complete application, and possibly, priority review.</w:t>
      </w:r>
    </w:p>
    <w:p>
      <w:pPr>
        <w:spacing w:after="0" w:line="167"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4"/>
          <w:szCs w:val="14"/>
          <w:color w:val="auto"/>
        </w:rPr>
        <w:t>If a drug or biologic candidate is intended for the treatment of a serious or life-threatening condition or disease and the drug demonstrates the potential to address unmet medical needs for the condition, the sponsor may apply for Fast Track designation.</w:t>
      </w:r>
    </w:p>
    <w:p>
      <w:pPr>
        <w:spacing w:after="0" w:line="11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Designation as a breakthrough therapy and Fast Track designation are within the discretion of the FDA. Accordingly, even if we believe that our product candidates meet the criteria for designation as a breakthrough therapy or Fast Track designation, the FDA may disagree and instead determine not to make such designation. In any event, the receipt of either or both of a breakthrough therapy designation or Fast Track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or for Fast Track designation, the FDA may later decide that the products no longer meet the conditions for qualification.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 is possible that we may not be able to obtain or maintain orphan drug designation or exclusivity for our drug candidates, which could limit the potential profitability of our product candidates.</w:t>
      </w:r>
    </w:p>
    <w:p>
      <w:pPr>
        <w:spacing w:after="0" w:line="16"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4"/>
          <w:szCs w:val="14"/>
          <w:color w:val="auto"/>
        </w:rPr>
        <w:t>Regulatory authorities in some jurisdictions, including the United States and Europe, may designate drugs for the treatment or prevention of rare diseases or conditions with relatively small patient populations as orphan drugs. Under the Orphan Drug Act of 1983, the (“Orphan Drug Act”), the FDA may designate a product as an orphan drug if it is a drug intended to treat a rare disease or condition, which is defined as a patient population of fewer than 200,000 individuals in the United States. We received orphan drug designation from the FDA for mavorixafor for the treatment of WHIM syndrome in October 2018, and from the EMA in July 2019. We also received orphan drug designation in the U.S. for mavorixafor for the treatment of Waldenström’s macroglobulinemia in June 2022. If a product with an orphan drug designation subsequently receives the first marketing approval for the indication for which it has such designation, the product is entitled to a seven-year period of marketing exclusivity, which precludes the FDA from approving another marketing application for the same drug for the same indication during that time period with some exceptions. A similar provision in the European Union allows 10 years of exclusivity in Europe. The European exclusivity period can be reduced to six years if a drug no longer meets the criteria for orphan drug designation or if the drug is sufficiently profitable so that marketing exclusivity is no longer justified. Orphan drug exclusivity may be lost in both the United States and Europe under certain situations, such as the inability of the holder of the orphan drug designation to produce sufficient quantities of the drug to meet the needs of patients with the rare disease or condition or for certain other reasons.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7" w:name="page38"/>
    <w:bookmarkEnd w:id="37"/>
    <w:p>
      <w:pPr>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The FDA has granted rare pediatric disease designation for mavorixafor for the treatment of WHIM syndrome, however, there is no guarantee that FDA approval of mavorixafor for WHIM will result in a priority review voucher.</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6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4"/>
          <w:szCs w:val="14"/>
          <w:color w:val="auto"/>
        </w:rPr>
        <w:t>The FDA has granted rare pediatric disease designation for mavorixafor for the treatment of WHIM syndrome, however, there is no guarantee that we will be able to obtain a priority review voucher, even if mavorixafor is approved by the FDA. Specifically, FDA may not award the voucher to sponsors of marketing applications unless either (i) the drug has received rare pediatric disease designation as of September 30, 2024 and is then approved by the FDA no later than September 30, 2026; or (ii) Congress reauthorizes the program. Even though we received rare pediatric disease designation by the current statutory deadline of September 30, 2024 we may not receive the voucher if we do not obtain approval by September 2026.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establish sales and marketing capabilities to market and sell our product candidates, we may be unable to generate any revenue.</w:t>
      </w:r>
    </w:p>
    <w:p>
      <w:pPr>
        <w:spacing w:after="0" w:line="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Even if we are ultimately successful in obtaining regulatory approval of mavorixafor for the treatment of WHIM syndrome or another indication, in order to market and sell mavorixafor and our other product candidates in development, we currently intend to build and develop our own sales, marketing and distribution operations. Although our management team has previous experience with such efforts, there can be no assurance that we will be successful in building these operations. If we are unable to establish adequate sales, marketing and distribution capabilities, we may not be able to generate product revenue and may not become profitable. We will also be competing with many companies that currently have extensive and well-funded sales and marketing operations. If any of our product candidates are approved, we may be unable to compete successfully against these more established companies.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commercial success depends upon attaining significant market acceptance of our product candidates, if approved, among hospitals, physicians, patients and healthcare payors.</w:t>
      </w:r>
    </w:p>
    <w:p>
      <w:pPr>
        <w:spacing w:after="0" w:line="1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4"/>
          <w:szCs w:val="14"/>
          <w:color w:val="auto"/>
        </w:rPr>
        <w:t>Even if we obtain regulatory approval for any of our product candidates that we may develop or acquire in the future, the product may not gain market acceptance among hospitals, physicians, health care payors, patients and the medical community. Market acceptance of any of our product candidates for which we receive approval depends on a number of factors, including:</w:t>
      </w:r>
    </w:p>
    <w:p>
      <w:pPr>
        <w:spacing w:after="0" w:line="61" w:lineRule="exact"/>
        <w:rPr>
          <w:sz w:val="20"/>
          <w:szCs w:val="20"/>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such product candidates as demonstrated in clinical trials;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the product candidate is approved;</w:t>
      </w:r>
    </w:p>
    <w:p>
      <w:pPr>
        <w:spacing w:after="0" w:line="72" w:lineRule="exact"/>
        <w:rPr>
          <w:rFonts w:ascii="Times New Roman" w:cs="Times New Roman" w:eastAsia="Times New Roman" w:hAnsi="Times New Roman"/>
          <w:sz w:val="14"/>
          <w:szCs w:val="14"/>
          <w:color w:val="auto"/>
        </w:rPr>
      </w:pPr>
    </w:p>
    <w:p>
      <w:pPr>
        <w:ind w:left="1220" w:right="20" w:hanging="197"/>
        <w:spacing w:after="0" w:line="271" w:lineRule="auto"/>
        <w:tabs>
          <w:tab w:leader="none" w:pos="12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by major operators of hospitals, physicians and patients of the product candidate as a safe and effective treatment, particularly the ability of mavorixafor and our other product candidates to establish themselves as a new standard of care in the treatment paradigm for the indications that we are pursuing;</w:t>
      </w:r>
    </w:p>
    <w:p>
      <w:pPr>
        <w:spacing w:after="0" w:line="39" w:lineRule="exact"/>
        <w:rPr>
          <w:rFonts w:ascii="Times New Roman" w:cs="Times New Roman" w:eastAsia="Times New Roman" w:hAnsi="Times New Roman"/>
          <w:sz w:val="14"/>
          <w:szCs w:val="14"/>
          <w:color w:val="auto"/>
        </w:rPr>
      </w:pPr>
    </w:p>
    <w:p>
      <w:pPr>
        <w:ind w:left="1220" w:right="640" w:hanging="197"/>
        <w:spacing w:after="0" w:line="255" w:lineRule="auto"/>
        <w:tabs>
          <w:tab w:leader="none" w:pos="12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advantages of our product candidates over alternative treatments as compared to the relative costs of the product candidates and alternative treatments;</w:t>
      </w:r>
    </w:p>
    <w:p>
      <w:pPr>
        <w:spacing w:after="0" w:line="5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with respect to our product candidates, including mavorixafor;</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offer any approved products for sale at competitive prices;</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our products as well as competitive products;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pricing, and the availability of coverage and adequate reimbursement by third party payors and government authorities;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and ease of administration; and</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and marketing efforts and those of our potential future collaborators.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38" w:name="page39"/>
    <w:bookmarkEnd w:id="38"/>
    <w:p>
      <w:pPr>
        <w:jc w:val="both"/>
        <w:ind w:right="40"/>
        <w:spacing w:after="0" w:line="246" w:lineRule="auto"/>
        <w:rPr>
          <w:sz w:val="20"/>
          <w:szCs w:val="20"/>
          <w:color w:val="auto"/>
        </w:rPr>
      </w:pPr>
      <w:r>
        <w:rPr>
          <w:rFonts w:ascii="Times New Roman" w:cs="Times New Roman" w:eastAsia="Times New Roman" w:hAnsi="Times New Roman"/>
          <w:sz w:val="14"/>
          <w:szCs w:val="14"/>
          <w:color w:val="auto"/>
        </w:rPr>
        <w:t>There may be delays in getting our product candidates, if approved, on hospital or insurance formularies or limitations on coverages that may be available in the early stages of commercialization for newly approved drugs. If any of our product candidates are approved but fail to achieve market acceptance among hospitals, physicians, patients or health care payors, we will not be able to generate significant revenues, which would have a material adverse effect on our business, prospects, financial condition and results of operations.</w:t>
      </w:r>
    </w:p>
    <w:p>
      <w:pPr>
        <w:spacing w:after="0" w:line="140"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Product candidates may cause undesirable side effects that could delay or prevent their marketing approval, limit the commercial profile of an approved label, or result in significant negative consequences following marketing approval, if any, including marketing withdrawal.</w:t>
      </w:r>
    </w:p>
    <w:p>
      <w:pPr>
        <w:spacing w:after="0" w:line="1"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14"/>
          <w:szCs w:val="14"/>
          <w:color w:val="auto"/>
        </w:rPr>
        <w:t>Undesirable side effects caused by any of our product candidates that we may develop or acquire could cause us or the FDA or other regulatory authorities to interrupt, delay or halt our clinical trials and could result in more restrictive labels or the delay or denial of marketing approval by the FDA or other regulatory authorities of such product candidates.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In addition, any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47"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4"/>
          <w:szCs w:val="14"/>
          <w:color w:val="auto"/>
        </w:rPr>
        <w:t>Further,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drugs) after such approval, a number of potentially significant negative consequences could result, including:</w:t>
      </w:r>
    </w:p>
    <w:p>
      <w:pPr>
        <w:spacing w:after="0" w:line="57" w:lineRule="exact"/>
        <w:rPr>
          <w:sz w:val="20"/>
          <w:szCs w:val="20"/>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limit their approval of such product candidates;</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such as a “boxed” warning or a contraindication;</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such side effects for distribution to patients;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such product candidates are distributed or administered, conduct additional clinical trials or change the labeling of the product candidates;</w:t>
      </w:r>
    </w:p>
    <w:p>
      <w:pPr>
        <w:spacing w:after="0" w:line="72" w:lineRule="exact"/>
        <w:rPr>
          <w:rFonts w:ascii="Times New Roman" w:cs="Times New Roman" w:eastAsia="Times New Roman" w:hAnsi="Times New Roman"/>
          <w:sz w:val="14"/>
          <w:szCs w:val="14"/>
          <w:color w:val="auto"/>
        </w:rPr>
      </w:pPr>
    </w:p>
    <w:p>
      <w:pPr>
        <w:ind w:left="1220" w:right="140" w:hanging="197"/>
        <w:spacing w:after="0" w:line="271" w:lineRule="auto"/>
        <w:tabs>
          <w:tab w:leader="none" w:pos="12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 Risk Evaluation and Mitigation Strategy plan to mitigate risks, which could include medication guides, physician communication plans, or elements to assure safe use, such as restricted distribution methods, patient registries and other risk minimization tools;</w:t>
      </w:r>
    </w:p>
    <w:p>
      <w:pPr>
        <w:spacing w:after="0" w:line="2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regulatory investigations and government enforcement actions;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decide to remove such product candidates from the marketplace after they are approved;</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injury caused to individuals exposed to or taking our product candidates; and</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6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1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Any product candidate for which we obtain marketing approval could be subject to marketing restrictions or withdrawal from the market, and we may be subject to penalties if we fail to comply with regulatory requirements or if we experience unanticipated problems with our products.</w:t>
      </w:r>
    </w:p>
    <w:p>
      <w:pPr>
        <w:spacing w:after="0" w:line="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4"/>
          <w:szCs w:val="14"/>
          <w:color w:val="auto"/>
        </w:rPr>
        <w:t>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medicine. The FDA closely regulates the post-approval marketing and promotion of drugs to ensure that they are marketed only for the approved indications and in accordance with the provisions of the approved labeling.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8" w:right="339" w:bottom="1440" w:gutter="0" w:footer="0" w:header="0"/>
        </w:sectPr>
      </w:pPr>
    </w:p>
    <w:bookmarkStart w:id="39" w:name="page40"/>
    <w:bookmarkEnd w:id="39"/>
    <w:p>
      <w:pPr>
        <w:ind w:right="200"/>
        <w:spacing w:after="0" w:line="271" w:lineRule="auto"/>
        <w:rPr>
          <w:sz w:val="20"/>
          <w:szCs w:val="20"/>
          <w:color w:val="auto"/>
        </w:rPr>
      </w:pPr>
      <w:r>
        <w:rPr>
          <w:rFonts w:ascii="Times New Roman" w:cs="Times New Roman" w:eastAsia="Times New Roman" w:hAnsi="Times New Roman"/>
          <w:sz w:val="14"/>
          <w:szCs w:val="14"/>
          <w:color w:val="auto"/>
        </w:rPr>
        <w:t>In addition, later discovery of previously unknown problems with our products, manufacturers or manufacturing processes, or failure to comply with regulatory requirements, may result in, among other things:</w:t>
      </w:r>
    </w:p>
    <w:p>
      <w:pPr>
        <w:spacing w:after="0" w:line="29" w:lineRule="exact"/>
        <w:rPr>
          <w:sz w:val="20"/>
          <w:szCs w:val="20"/>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such products, manufacturers or manufacturing processes;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labeling, marketing, distribution or use of a product;</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post-approval clinical trials;</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the products from the market;</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 that we submit;</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of products;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restitution or disgorgement of profits or revenue;</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marketing approvals;</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the import or export of our products;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and</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If, in the future, we are unable to establish sales and marketing capabilities or to selectively enter into agreements with third parties to sell and market our product candidates, we may not be successful in commercializing our product candidates if and when they are approved.</w:t>
      </w:r>
    </w:p>
    <w:p>
      <w:pPr>
        <w:spacing w:after="0" w:line="1"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14"/>
          <w:szCs w:val="14"/>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other third parties. In the future, we may choose to build a focused sales and marketing infrastructure to sell some of our product candidates if and when they are approved.</w:t>
      </w:r>
    </w:p>
    <w:p>
      <w:pPr>
        <w:spacing w:after="0" w:line="15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4"/>
          <w:szCs w:val="14"/>
          <w:color w:val="auto"/>
        </w:rPr>
        <w:t>There are risks involved both with establishing our own sales and marketing capabilities and with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product candidates on our own include:</w:t>
      </w:r>
    </w:p>
    <w:p>
      <w:pPr>
        <w:spacing w:after="0" w:line="103" w:lineRule="exact"/>
        <w:rPr>
          <w:sz w:val="20"/>
          <w:szCs w:val="20"/>
          <w:color w:val="auto"/>
        </w:rPr>
      </w:pPr>
    </w:p>
    <w:p>
      <w:pPr>
        <w:ind w:left="1220" w:hanging="197"/>
        <w:spacing w:after="0"/>
        <w:tabs>
          <w:tab w:leader="none" w:pos="122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4"/>
          <w:szCs w:val="14"/>
          <w:color w:val="auto"/>
        </w:rPr>
        <w:t>our inability to recruit and retain adequate numbers of effective sales and marketing personnel;</w:t>
      </w:r>
    </w:p>
    <w:p>
      <w:pPr>
        <w:spacing w:after="0" w:line="49" w:lineRule="exact"/>
        <w:rPr>
          <w:rFonts w:ascii="Arial" w:cs="Arial" w:eastAsia="Arial" w:hAnsi="Arial"/>
          <w:sz w:val="17"/>
          <w:szCs w:val="17"/>
          <w:color w:val="auto"/>
        </w:rPr>
      </w:pPr>
    </w:p>
    <w:p>
      <w:pPr>
        <w:ind w:left="1220" w:hanging="197"/>
        <w:spacing w:after="0"/>
        <w:tabs>
          <w:tab w:leader="none" w:pos="1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physicians or educate adequate numbers of physicians on the benefits of prescribing any future products; and</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8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If we enter into arrangements with third parties to perform sales, marketing and distribution services, our product revenue or the profitability of these product revenue to us may be lower than if we were to market and sell any products that we develop ourselves. In addition, we may not be successful in entering into arrangements with third parties to sell and market our product candidates or may be unable to do so on terms that are favorable to us. We may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competition that may result in others discovering, developing or commercializing products before or more successfully than we do.</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and establish collaborative arrangements for research, development, manufacturing and commercialization.</w:t>
      </w:r>
    </w:p>
    <w:p>
      <w:pPr>
        <w:spacing w:after="0" w:line="18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We are developing our lead product candidate, mavorixafor, for the treatment of chronic neutropenic disorders, including WHIM syndrome. We are aware of other companies that are developing CXCR4 inhibitors that are in a similar stage of development as mavorixafor, including BioLineRx, Noxxon, Upsher-Smith, Polyphor and Glycomimetics. To our knowledge, there do not appear to be any competitors with programs in development for WHIM syndrome or chronic neutropenia disorders. With respect to chronic neutropenia, filgrastim injections (human granulocyte colony-stimulating factor (G-CSF)) and two biosimilars (Zarxio and Nivestym) are FDA-approved to reduce the incidence and duration of after affects of severe neutropenia (e.g.‚ fever‚ infections‚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oropharyngeal ulcers) in symptomatic patients with congenital neutropenia‚ cyclic neutropenia‚ or idiopathic neutropenia</w:t>
      </w:r>
      <w:r>
        <w:rPr>
          <w:rFonts w:ascii="Times New Roman" w:cs="Times New Roman" w:eastAsia="Times New Roman" w:hAnsi="Times New Roman"/>
          <w:sz w:val="16"/>
          <w:szCs w:val="16"/>
          <w:color w:val="008080"/>
        </w:rPr>
        <w:t>.</w:t>
      </w:r>
    </w:p>
    <w:p>
      <w:pPr>
        <w:spacing w:after="0" w:line="17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In many diseases, these drugs are administered in combination to enhance efficacy. Some of the currently approved drug therapies are branded and subject to patent protection, and others are available on a generic basis. Many of these approved drugs are well-established therapies and are widely accepted by physicians, patients and third-party payors. Insurers and other third-party payors may also encourage the use of generic products. We expect that if any of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6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4"/>
          <w:szCs w:val="14"/>
          <w:color w:val="auto"/>
        </w:rPr>
        <w:t>Our competitors may develop products that are more effective, have a better safety profile, are more convenient or less costly than any that we are developing or that would render our product candidates obsolete or non-competitive. Our competitors may also obtain marketing approval from the FDA or other regulatory authorities for their products sooner than we may obtain approval for our product candidates, which could result in our competitors establishing a strong market position before we are able to enter the market.</w:t>
      </w:r>
    </w:p>
    <w:p>
      <w:pPr>
        <w:spacing w:after="0" w:line="16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Many of our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may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6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Even if we obtain and maintain approval for our product candidates from the FDA, we may never obtain approval for our product candidates outside of the United States, which would limit our market opportunities and could harm our business.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4"/>
          <w:szCs w:val="14"/>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If regulatory approval is obtained, sales of any future product candidates outside of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any future product candidates in the European Union from the European Commission following the opinion of the European Medicines Agency, if we choose to submit a marketing authorization application there, would be a lengthy and expensive process. Even if a product candidate is approved, the FDA or the European Commission, as the case may be, may limit the indications for which the drug may be marketed, require extensive warnings on the drug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any future product candidates in certain countries.</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Further, clinical trials conducted in one country may not be accepted by regulatory authorities in other countries. Also, regulatory approval for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3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If we seek approval to commercialize our product candidates outside of the United States, a variety of risks associated with international operations could harm our business.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seek approval of our product candidates outside of the United States, we expect that we will be subject to additional risks in commercialization including:</w:t>
      </w:r>
    </w:p>
    <w:p>
      <w:pPr>
        <w:spacing w:after="0" w:line="56" w:lineRule="exact"/>
        <w:rPr>
          <w:sz w:val="20"/>
          <w:szCs w:val="20"/>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regulatory requirements for approval of therapies in foreign countries;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and regulatory requirements;</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revenues, and other obligations incident to doing business in another country;</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reimbursement, pricing and insurance regimes;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United States;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72" w:lineRule="exact"/>
        <w:rPr>
          <w:rFonts w:ascii="Times New Roman" w:cs="Times New Roman" w:eastAsia="Times New Roman" w:hAnsi="Times New Roman"/>
          <w:sz w:val="14"/>
          <w:szCs w:val="14"/>
          <w:color w:val="auto"/>
        </w:rPr>
      </w:pPr>
    </w:p>
    <w:p>
      <w:pPr>
        <w:ind w:left="1220" w:right="560" w:hanging="197"/>
        <w:spacing w:after="0" w:line="271" w:lineRule="auto"/>
        <w:tabs>
          <w:tab w:leader="none" w:pos="12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or natural disasters and public health epidemics, such as the ongoing COVID-19 pandemic.</w:t>
      </w:r>
    </w:p>
    <w:p>
      <w:pPr>
        <w:spacing w:after="0" w:line="14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4"/>
          <w:szCs w:val="14"/>
          <w:color w:val="auto"/>
        </w:rPr>
        <w:t>We have no prior experience in these areas. In addition, there are complex regulatory, tax, labor and other legal requirements imposed by many of the individual countries in and outside of Europe with which we will need to comply. Many biopharmaceutical companies have found the process of marketing their own products in foreign countries to be very challenging.</w:t>
      </w:r>
    </w:p>
    <w:p>
      <w:pPr>
        <w:spacing w:after="0" w:line="15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Even if we are able to commercialize mavorixafor or any other product candidate that we develop, the product may become subject to unfavorable pricing regulations, third-party reimbursement practices or healthcare reform initiatives, which would harm our business.</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4"/>
          <w:szCs w:val="14"/>
          <w:color w:val="auto"/>
        </w:rPr>
        <w:t>The laws and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and,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67"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4"/>
          <w:szCs w:val="14"/>
          <w:color w:val="auto"/>
        </w:rPr>
        <w:t>Our ability to commercialize mavorixafor or any other product candidate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U.S. and E.U. healthcare industries and elsewhere is cost containment.</w:t>
      </w:r>
    </w:p>
    <w:p>
      <w:pPr>
        <w:spacing w:after="0" w:line="16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mavorixafor or any other product that we commercialize and, if coverage and reimbursement is available, the level of reimbursement. Reimbursement may impact the demand for, or the price of, any product candidate for which we obtain marketing approval. Obtaining and maintaining adequate reimbursement for mavorixafor may be particularly difficult because of the higher prices typically associated with drugs directed at smaller populations of patients. In addition, third-party payors are likely to impose strict requirements for reimbursement of a higher priced drug, and any launch of a competitive product is likely to create downward pressure on the price initially charged. If reimbursement is not available or is available only to a limited degree, we may not be able to successfully commercialize any product candidate for which we obtain marketing approval.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1" w:right="339" w:bottom="1440" w:gutter="0" w:footer="0" w:header="0"/>
        </w:sectPr>
      </w:pPr>
    </w:p>
    <w:bookmarkStart w:id="42" w:name="page43"/>
    <w:bookmarkEnd w:id="42"/>
    <w:p>
      <w:pPr>
        <w:ind w:right="20"/>
        <w:spacing w:after="0" w:line="243"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for newly approved drugs, and coverage may be more limited than the purposes for which the drug is approved by the applicable regulatory authority. Moreover, eligibility for coverage and reimbursement does not imply that any drug will be paid for in all cases or at a rate that covers our costs, including research, development, intellectual property, manufacturing, sale and distribution expenses. Interim reimbursement levels for new drugs, if applicable, may also not be sufficient to cover our costs and may not be made permanent.</w:t>
      </w:r>
    </w:p>
    <w:p>
      <w:pPr>
        <w:spacing w:after="0" w:line="16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the United States, third-party payors often rely upon Medicare coverage policy and payment limitations in setting their own reimbursement policies. In the European Union, reference pricing systems and other measures may lead to cost containment and reduced prices. Our inability to promptly obtain coverage and adequate reimbursement rates from both government-funded and private payors for any approved products that we develop could have a material adverse effect on our operating results, our ability to raise capital needed to develop product candidates and commercialize products and our overall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Governments outside the United States tend to impose strict price controls, which may adversely affect our revenues, if any.</w:t>
      </w:r>
    </w:p>
    <w:p>
      <w:pPr>
        <w:spacing w:after="0" w:line="6"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4"/>
          <w:szCs w:val="14"/>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could limit the commercialization of any product candidates we may develop.</w:t>
      </w:r>
    </w:p>
    <w:p>
      <w:pPr>
        <w:spacing w:after="0" w:line="1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4"/>
          <w:szCs w:val="14"/>
          <w:color w:val="auto"/>
        </w:rPr>
        <w:t>We face an inherent risk of product liability exposure related to the testing of our product candidates in human clinical trials and will face an even greater risk with respect to commercial sales of any products that we may develop. If we cannot successfully defend ourselves against claims that our product candidates or products caused injuries, we could incur substantial liabilities. Regardless of merit or eventual outcome, liability claims may result in:</w:t>
      </w:r>
    </w:p>
    <w:p>
      <w:pPr>
        <w:spacing w:after="0" w:line="50" w:lineRule="exact"/>
        <w:rPr>
          <w:sz w:val="20"/>
          <w:szCs w:val="20"/>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products that we may develop;</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any related litigation;</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insurance costs; and</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1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Although we maintain clinical trial insurance coverage, it may not be adequate to cover all liabilities that we may incur. We anticipate that we will need to increase our insurance coverage as we continue clinical trials or begin commercialization of any products. Insurance coverage is increasingly expensive. We may not be able to obtain or maintain insurance coverage at a reasonable cost or in an amount adequate to satisfy any liability that may arise.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168"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and third-party payors will be subject to applicable anti-kickback, fraud and abuse and other healthcare laws and regulations, which could expose us to significant penalties, including administrative, civil and criminal penalties, contractual damages, reputational harm and diminished profits and future earnings.</w:t>
      </w:r>
    </w:p>
    <w:p>
      <w:pPr>
        <w:spacing w:after="0" w:line="1" w:lineRule="exact"/>
        <w:rPr>
          <w:sz w:val="20"/>
          <w:szCs w:val="20"/>
          <w:color w:val="auto"/>
        </w:rPr>
      </w:pPr>
    </w:p>
    <w:p>
      <w:pPr>
        <w:jc w:val="both"/>
        <w:ind w:right="140"/>
        <w:spacing w:after="0" w:line="242" w:lineRule="auto"/>
        <w:rPr>
          <w:sz w:val="20"/>
          <w:szCs w:val="20"/>
          <w:color w:val="auto"/>
        </w:rPr>
      </w:pPr>
      <w:r>
        <w:rPr>
          <w:rFonts w:ascii="Times New Roman" w:cs="Times New Roman" w:eastAsia="Times New Roman" w:hAnsi="Times New Roman"/>
          <w:sz w:val="14"/>
          <w:szCs w:val="14"/>
          <w:color w:val="auto"/>
        </w:rPr>
        <w:t>Although we do not currently have any drugs on the market, we are, and once we begin commercializing our product candidates, we will be subject to additional healthcare statutory and regulatory requirements and enforcement by the federal government and the states and foreign governments in the jurisdictions in which we conduct our business. Healthcare providers and third-party payors will play a primary role in the recommendation and prescription of any product candidates for which we obtain marketing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33" w:right="359" w:bottom="1440" w:gutter="0" w:footer="0" w:header="0"/>
        </w:sectPr>
      </w:pPr>
    </w:p>
    <w:bookmarkStart w:id="43" w:name="page44"/>
    <w:bookmarkEnd w:id="43"/>
    <w:p>
      <w:pPr>
        <w:ind w:right="40"/>
        <w:spacing w:after="0" w:line="246" w:lineRule="auto"/>
        <w:rPr>
          <w:sz w:val="20"/>
          <w:szCs w:val="20"/>
          <w:color w:val="auto"/>
        </w:rPr>
      </w:pPr>
      <w:r>
        <w:rPr>
          <w:rFonts w:ascii="Times New Roman" w:cs="Times New Roman" w:eastAsia="Times New Roman" w:hAnsi="Times New Roman"/>
          <w:sz w:val="14"/>
          <w:szCs w:val="14"/>
          <w:color w:val="auto"/>
        </w:rPr>
        <w:t>approval. Our current and future arrangements with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include the following:</w:t>
      </w:r>
    </w:p>
    <w:p>
      <w:pPr>
        <w:spacing w:after="0" w:line="57" w:lineRule="exact"/>
        <w:rPr>
          <w:sz w:val="20"/>
          <w:szCs w:val="20"/>
          <w:color w:val="auto"/>
        </w:rPr>
      </w:pPr>
    </w:p>
    <w:p>
      <w:pPr>
        <w:ind w:left="1220" w:hanging="197"/>
        <w:spacing w:after="0" w:line="243"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persons and entities from knowingly and willfully soliciting, offering, receiving or paying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in order to have committed a violation;</w:t>
      </w:r>
    </w:p>
    <w:p>
      <w:pPr>
        <w:spacing w:after="0" w:line="58" w:lineRule="exact"/>
        <w:rPr>
          <w:rFonts w:ascii="Times New Roman" w:cs="Times New Roman" w:eastAsia="Times New Roman" w:hAnsi="Times New Roman"/>
          <w:sz w:val="14"/>
          <w:szCs w:val="14"/>
          <w:color w:val="auto"/>
        </w:rPr>
      </w:pPr>
    </w:p>
    <w:p>
      <w:pPr>
        <w:ind w:left="1220" w:right="100" w:hanging="197"/>
        <w:spacing w:after="0" w:line="243"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laws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48" w:lineRule="exact"/>
        <w:rPr>
          <w:rFonts w:ascii="Times New Roman" w:cs="Times New Roman" w:eastAsia="Times New Roman" w:hAnsi="Times New Roman"/>
          <w:sz w:val="14"/>
          <w:szCs w:val="14"/>
          <w:color w:val="auto"/>
        </w:rPr>
      </w:pPr>
    </w:p>
    <w:p>
      <w:pPr>
        <w:ind w:left="1220" w:right="100" w:hanging="197"/>
        <w:spacing w:after="0" w:line="243"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8" w:lineRule="exact"/>
        <w:rPr>
          <w:rFonts w:ascii="Times New Roman" w:cs="Times New Roman" w:eastAsia="Times New Roman" w:hAnsi="Times New Roman"/>
          <w:sz w:val="14"/>
          <w:szCs w:val="14"/>
          <w:color w:val="auto"/>
        </w:rPr>
      </w:pPr>
    </w:p>
    <w:p>
      <w:pPr>
        <w:ind w:left="1220" w:right="40" w:hanging="197"/>
        <w:spacing w:after="0" w:line="238"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transparency requirements, sometimes referred to as the “Sunshine Act” under the Patient Protection and Affordable Care Act, as amended by the Health Care and Education Reconciliation Act of 2010 (collectively the “ACA”), require certain manufacturers of drugs, devices, biologics and medical supplies that are reimbursable under Medicare, Medicaid, or the Children’s Health Insurance Program to report to the Centers for Medicare &amp; Medicaid Services (“CMS”), information related to payments and other transfers of value to physicians, (defined to include doctors, dentists, optometrists, podiatrists and chiropractors), certain other healthcare professionals (such as physician assistants and nurse practitioners), and teaching hospitals and the ownership and investment interests of physicians and their immediate family members in such manufacturers;</w:t>
      </w:r>
    </w:p>
    <w:p>
      <w:pPr>
        <w:spacing w:after="0" w:line="60" w:lineRule="exact"/>
        <w:rPr>
          <w:rFonts w:ascii="Times New Roman" w:cs="Times New Roman" w:eastAsia="Times New Roman" w:hAnsi="Times New Roman"/>
          <w:sz w:val="14"/>
          <w:szCs w:val="14"/>
          <w:color w:val="auto"/>
        </w:rPr>
      </w:pPr>
    </w:p>
    <w:p>
      <w:pPr>
        <w:ind w:left="1220" w:right="60" w:hanging="197"/>
        <w:spacing w:after="0" w:line="243"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and their subcontractors that use, disclose, or otherwise process individually identifiable health information, including mandatory contractual terms, with respect to safeguarding the privacy, security and transmission of individually identifiable health information;</w:t>
      </w:r>
    </w:p>
    <w:p>
      <w:pPr>
        <w:spacing w:after="0" w:line="48" w:lineRule="exact"/>
        <w:rPr>
          <w:rFonts w:ascii="Times New Roman" w:cs="Times New Roman" w:eastAsia="Times New Roman" w:hAnsi="Times New Roman"/>
          <w:sz w:val="14"/>
          <w:szCs w:val="14"/>
          <w:color w:val="auto"/>
        </w:rPr>
      </w:pPr>
    </w:p>
    <w:p>
      <w:pPr>
        <w:ind w:left="1220" w:right="580" w:hanging="197"/>
        <w:spacing w:after="0" w:line="271"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39" w:lineRule="exact"/>
        <w:rPr>
          <w:rFonts w:ascii="Times New Roman" w:cs="Times New Roman" w:eastAsia="Times New Roman" w:hAnsi="Times New Roman"/>
          <w:sz w:val="14"/>
          <w:szCs w:val="14"/>
          <w:color w:val="auto"/>
        </w:rPr>
      </w:pPr>
    </w:p>
    <w:p>
      <w:pPr>
        <w:ind w:left="1220" w:right="420" w:hanging="197"/>
        <w:spacing w:after="0" w:line="246"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drug pricing or marketing expenditures;</w:t>
      </w:r>
    </w:p>
    <w:p>
      <w:pPr>
        <w:spacing w:after="0" w:line="56"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local laws that require the registration of pharmaceutical sales representatives; and</w:t>
      </w:r>
    </w:p>
    <w:p>
      <w:pPr>
        <w:spacing w:after="0" w:line="72" w:lineRule="exact"/>
        <w:rPr>
          <w:rFonts w:ascii="Times New Roman" w:cs="Times New Roman" w:eastAsia="Times New Roman" w:hAnsi="Times New Roman"/>
          <w:sz w:val="14"/>
          <w:szCs w:val="14"/>
          <w:color w:val="auto"/>
        </w:rPr>
      </w:pPr>
    </w:p>
    <w:p>
      <w:pPr>
        <w:ind w:left="1220" w:right="20" w:hanging="197"/>
        <w:spacing w:after="0" w:line="271" w:lineRule="auto"/>
        <w:tabs>
          <w:tab w:leader="none" w:pos="12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foreign laws also govern the privacy and security of health information in certain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44" w:name="page45"/>
    <w:bookmarkEnd w:id="44"/>
    <w:p>
      <w:pPr>
        <w:spacing w:after="0" w:line="238" w:lineRule="auto"/>
        <w:rPr>
          <w:sz w:val="20"/>
          <w:szCs w:val="20"/>
          <w:color w:val="auto"/>
        </w:rPr>
      </w:pPr>
      <w:r>
        <w:rPr>
          <w:rFonts w:ascii="Times New Roman" w:cs="Times New Roman" w:eastAsia="Times New Roman" w:hAnsi="Times New Roman"/>
          <w:sz w:val="14"/>
          <w:szCs w:val="14"/>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imprisonment, exclusion from government funded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 number of legislative and regulatory changes and proposed changes regarding the healthcare system that could prevent or delay marketing approval of our product candidates, restrict post-approval activities and affect our ability to sell profitably any product candidates for which we obtain marketing approval.</w:t>
      </w:r>
    </w:p>
    <w:p>
      <w:pPr>
        <w:spacing w:after="0" w:line="14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In the United States, Medicare covers certain drug purchases by the elderly and eligible disabled people and introduced a reimbursement methodology based on average sales prices for physician-administered drugs. In addition, Medicare may limit the number of drugs that will be covered in any therapeutic class. Ongoing cost reduction initiatives and future laws could decrease the coverage and price that we will receive for any approved products. While Medicare beneficiaries are limited to most elderly and certain disabled individual, private payors often follow Medicare coverage policy and payment limitations in setting their own payment rates.</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In March 2010,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Among the provisions of the ACA of importance to our product candidates are the following:</w:t>
      </w:r>
    </w:p>
    <w:p>
      <w:pPr>
        <w:spacing w:after="0" w:line="41" w:lineRule="exact"/>
        <w:rPr>
          <w:sz w:val="20"/>
          <w:szCs w:val="20"/>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nondeductible fee on any entity that manufactures or imports specified branded prescription drugs and biologic products;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statutory minimum rebates a manufacturer must pay under the Medicaid Drug Rebate Program;</w:t>
      </w:r>
    </w:p>
    <w:p>
      <w:pPr>
        <w:spacing w:after="0" w:line="72" w:lineRule="exact"/>
        <w:rPr>
          <w:rFonts w:ascii="Times New Roman" w:cs="Times New Roman" w:eastAsia="Times New Roman" w:hAnsi="Times New Roman"/>
          <w:sz w:val="14"/>
          <w:szCs w:val="14"/>
          <w:color w:val="auto"/>
        </w:rPr>
      </w:pPr>
    </w:p>
    <w:p>
      <w:pPr>
        <w:ind w:left="1220" w:right="120" w:hanging="197"/>
        <w:spacing w:after="0" w:line="271" w:lineRule="auto"/>
        <w:tabs>
          <w:tab w:leader="none" w:pos="12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healthcare fraud and abuse laws, including the False Claims Act and the Anti-Kickback Statute, new government investigative powers, and enhanced penalties for noncompliance;</w:t>
      </w:r>
    </w:p>
    <w:p>
      <w:pPr>
        <w:spacing w:after="0" w:line="3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Medicare Part D coverage gap discount program, in which manufacturers must agree to offer 70% point-of-sale discounts off negotiated prices;</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extension of manufacturers’ Medicaid rebate liability;</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eligibility criteria for Medicaid programs;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the entities eligible for discounts under the Public Health Service Act’s pharmaceutical pricing program;</w:t>
      </w:r>
    </w:p>
    <w:p>
      <w:pPr>
        <w:spacing w:after="0" w:line="72"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requirements to report to CMS financial arrangements with physicians, as defined by such law, and teaching hospitals;</w:t>
      </w:r>
    </w:p>
    <w:p>
      <w:pPr>
        <w:spacing w:after="0" w:line="83"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requirement to annually report to FDA drug samples that manufacturers and distributors provide to physicians; and</w:t>
      </w:r>
    </w:p>
    <w:p>
      <w:pPr>
        <w:spacing w:after="0" w:line="83" w:lineRule="exact"/>
        <w:rPr>
          <w:rFonts w:ascii="Times New Roman" w:cs="Times New Roman" w:eastAsia="Times New Roman" w:hAnsi="Times New Roman"/>
          <w:sz w:val="14"/>
          <w:szCs w:val="14"/>
          <w:color w:val="auto"/>
        </w:rPr>
      </w:pPr>
    </w:p>
    <w:p>
      <w:pPr>
        <w:ind w:left="1220" w:right="420" w:hanging="197"/>
        <w:spacing w:after="0" w:line="255" w:lineRule="auto"/>
        <w:tabs>
          <w:tab w:leader="none" w:pos="12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Patient-Centered Outcomes Research Institute to oversee, identify priorities in, and conduct comparative clinical effectiveness research, along with funding for such research.</w:t>
      </w:r>
    </w:p>
    <w:p>
      <w:pPr>
        <w:spacing w:after="0" w:line="15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There have been challenges to certain aspects of the ACA. In addition, other legislative changes have been proposed and adopted since the ACA was enacted.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to initiate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45" w:name="page46"/>
    <w:bookmarkEnd w:id="45"/>
    <w:p>
      <w:pPr>
        <w:ind w:right="180"/>
        <w:spacing w:after="0" w:line="243" w:lineRule="auto"/>
        <w:rPr>
          <w:sz w:val="20"/>
          <w:szCs w:val="20"/>
          <w:color w:val="auto"/>
        </w:rPr>
      </w:pPr>
      <w:r>
        <w:rPr>
          <w:rFonts w:ascii="Times New Roman" w:cs="Times New Roman" w:eastAsia="Times New Roman" w:hAnsi="Times New Roman"/>
          <w:sz w:val="14"/>
          <w:szCs w:val="14"/>
          <w:color w:val="auto"/>
        </w:rPr>
        <w:t>16, 2022, President Biden signed the Inflation Reduction Act of 2022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program.It is possible that the ACA will be subject to judicial or Congressional challenges in the future. It is unclear how any such challenges and the healthcare reform measures of the Biden administration will impact the ACA and our business.</w:t>
      </w:r>
    </w:p>
    <w:p>
      <w:pPr>
        <w:spacing w:after="0" w:line="16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4"/>
          <w:szCs w:val="14"/>
          <w:color w:val="auto"/>
        </w:rPr>
        <w:t>There has also been heightened governmental scrutiny over the manner in which manufacturers set prices for their marketed products, which has resulted in several Presidential executive orders,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Further, Congress is considering additional health reform measures.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4"/>
          <w:szCs w:val="14"/>
          <w:color w:val="auto"/>
        </w:rPr>
        <w:t>We cannot predict what healthcare reform initiatives may be adopted in the future. However, we expect that the ACA, as well as other healthcare reform measures that may be adopted in the future, may result in more rigorous coverage criteria and in additional downward pressure on the price that we will receive for any approved product. These new laws may result in additional reductions in Medicare and other healthcare funding. Any reduction in payments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6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product candidates may be.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142"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its business, results of operations and financial condition.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are subject to anti-corruption laws, including the Foreign Corrupt Practices Act (“FCPA”) and other anti-corruption laws that apply in countries where we do business and may do business in the future. The FCPA and these other laws generally prohibit us, our officers and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violations, and may participate in collaborations and relationships with third parties whose actions could potentially subject us to liability under the FCPA or local anti-corruption laws. In addition, we cannot predict the nature, scope or effect of future regulatory requirements to which its international operations might be subject or the manner in which existing laws might be administered or interpreted.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46" w:name="page47"/>
    <w:bookmarkEnd w:id="46"/>
    <w:p>
      <w:pPr>
        <w:ind w:right="40"/>
        <w:spacing w:after="0" w:line="246" w:lineRule="auto"/>
        <w:rPr>
          <w:sz w:val="20"/>
          <w:szCs w:val="20"/>
          <w:color w:val="auto"/>
        </w:rPr>
      </w:pPr>
      <w:r>
        <w:rPr>
          <w:rFonts w:ascii="Times New Roman" w:cs="Times New Roman" w:eastAsia="Times New Roman" w:hAnsi="Times New Roman"/>
          <w:sz w:val="14"/>
          <w:szCs w:val="14"/>
          <w:color w:val="auto"/>
        </w:rPr>
        <w:t>We are also subject to other laws and regulations governing our international operations, including regulations administered by the U.S. government and authorities in the European Union or the United Kingdom, including applicable export control regulations, economic sanctions on countries and persons, customs requirements and currency exchange regulations, which we collectively refer to as Trade Control Laws.</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There is no assurance that we will be completely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other anti-corruption laws or Trade Control Laws by U.S. or other authorities could also have an adverse impact on our reputation, business, results of operations and financial condition.</w:t>
      </w:r>
    </w:p>
    <w:p>
      <w:pPr>
        <w:spacing w:after="0" w:line="155" w:lineRule="exact"/>
        <w:rPr>
          <w:sz w:val="20"/>
          <w:szCs w:val="20"/>
          <w:color w:val="auto"/>
        </w:rPr>
      </w:pPr>
    </w:p>
    <w:p>
      <w:pPr>
        <w:jc w:val="both"/>
        <w:ind w:right="200"/>
        <w:spacing w:after="0"/>
        <w:rPr>
          <w:sz w:val="20"/>
          <w:szCs w:val="20"/>
          <w:color w:val="auto"/>
        </w:rPr>
      </w:pPr>
      <w:r>
        <w:rPr>
          <w:rFonts w:ascii="Times New Roman" w:cs="Times New Roman" w:eastAsia="Times New Roman" w:hAnsi="Times New Roman"/>
          <w:sz w:val="14"/>
          <w:szCs w:val="14"/>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4"/>
          <w:szCs w:val="14"/>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83" w:lineRule="exact"/>
        <w:rPr>
          <w:sz w:val="20"/>
          <w:szCs w:val="20"/>
          <w:color w:val="auto"/>
        </w:rPr>
      </w:pPr>
    </w:p>
    <w:p>
      <w:pPr>
        <w:jc w:val="both"/>
        <w:ind w:right="220"/>
        <w:spacing w:after="0"/>
        <w:rPr>
          <w:sz w:val="20"/>
          <w:szCs w:val="20"/>
          <w:color w:val="auto"/>
        </w:rPr>
      </w:pPr>
      <w:r>
        <w:rPr>
          <w:rFonts w:ascii="Times New Roman" w:cs="Times New Roman" w:eastAsia="Times New Roman" w:hAnsi="Times New Roman"/>
          <w:sz w:val="14"/>
          <w:szCs w:val="14"/>
          <w:b w:val="1"/>
          <w:bCs w:val="1"/>
          <w:i w:val="1"/>
          <w:iCs w:val="1"/>
          <w:color w:val="auto"/>
        </w:rPr>
        <w:t>We have no experience manufacturing our product candidates on a large clinical or commercial scale and have no manufacturing facility. We are currently dependent on a single third party manufacturer for the manufacture of mavorixafor, the active pharmaceutical ingredient (“API”), and a single manufacturer of mavorixafor finished drug product capsules. If we experience problems with these third parties, the manufacturing of mavorixafor could be delayed, which could harm our results of operations.</w:t>
      </w:r>
    </w:p>
    <w:p>
      <w:pPr>
        <w:spacing w:after="0" w:line="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To meet our projected needs for clinical supplies to support our activities through regulatory approval and commercial manufacturing, the manufacturer with whom we currently work will need to increase its frequency and/or scale of production or we will need to find additional or alternative manufacturers. We have not yet secured alternate suppliers in the event the current manufacturer we utilize is unable to meet demand, or if otherwise we experience any problems with them. If such problems arise and we are unable to arrange for alternative third-party manufacturing sources, we are unable to find an alternative third party capable of reproducing the existing manufacturing method or we are unable to do so on commercially reasonable terms or in a timely manner, we may not be able to complete development of our product candidates, or market or distribute them.</w:t>
      </w:r>
    </w:p>
    <w:p>
      <w:pPr>
        <w:spacing w:after="0" w:line="14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products that we may eventually commercialize in accordance with our specifications), and the possibility of termination or nonrenewal of the agreement by the third party, based on its own business priorities, at a time that is costly or damaging to us. In addition, the FDA and other regulatory authorities require that our product candidates and any products that we may eventually commercialize be manufactured according to cGMP and similar foreign standards. Drug manufacturers and other entities involved in the manufacture and distribution of approved drugs are required to register their establishments with the FDA and some state agencies, and are subject to periodic unannounced inspections for compliance with cGMP requirements. Changes to the manufacturing process are strictly regulated and often require prior FDA or other regulatory authority approval before being implemented. FDA requirements also require investigation and correction of any deviations from cGMP and impose reporting and documentation requirements upon us and any third-party manufacturers that we may decide to use. Accordingly, the manufacturers must continue to expend time, money and effort in the areas of production and quality</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02" w:right="339" w:bottom="1440" w:gutter="0" w:footer="0" w:header="0"/>
        </w:sectPr>
      </w:pPr>
    </w:p>
    <w:bookmarkStart w:id="47" w:name="page48"/>
    <w:bookmarkEnd w:id="47"/>
    <w:p>
      <w:pPr>
        <w:ind w:right="20"/>
        <w:spacing w:after="0" w:line="241" w:lineRule="auto"/>
        <w:rPr>
          <w:sz w:val="20"/>
          <w:szCs w:val="20"/>
          <w:color w:val="auto"/>
        </w:rPr>
      </w:pPr>
      <w:r>
        <w:rPr>
          <w:rFonts w:ascii="Times New Roman" w:cs="Times New Roman" w:eastAsia="Times New Roman" w:hAnsi="Times New Roman"/>
          <w:sz w:val="14"/>
          <w:szCs w:val="14"/>
          <w:color w:val="auto"/>
        </w:rPr>
        <w:t>control to maintain cGMP compliance. Any failure by our third-party manufacturers to comply with cGMP or failure to scale up manufacturing processes, including any failure to deliver sufficient quantities of product candidates or products if they are approved in a timely manner, could lead to a delay in, or failure to obtain, regulatory approval of any of our product candidates. In addition, such failure could be the basis for the FDA to issue a warning letter, withdraw approvals for product candidates previously granted to us, or take other regulatory or legal action, including recall or seizure,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13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Our current manufacturer and any future manufacturers may not be able to manufacture our product candidates at a cost or in quantities or in a timely manner necessary to make commercially successful products. If we successfully commercialize any of our product candidates, we may be required to establish large-scale commercial manufacturing capabilities. In addition, as our drug development pipeline increases and matures, we will have a greater need for clinical study and commercial manufacturing capacity. We have no experience manufacturing pharmaceutical products on a commercial scale and some of these manufacturers will need to increase their scale of production to meet our projected needs for commercial manufacturing, the satisfaction of which may not be met on a timely basis.</w:t>
      </w:r>
    </w:p>
    <w:p>
      <w:pPr>
        <w:spacing w:after="0" w:line="14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We have relied upon and plan to continue to rely upon third-party contract research organizations, or CROs, and clinical data management organizations to monitor and manage data for our ongoing preclinical and clinical programs. Although we control only certain aspects of their activities, we are responsible for ensuring that each of our studies is conducted in accordance with the applicable protocol and legal, regulatory and scientific standards, and our reliance on the CROs does not relieve us of our regulatory responsibilities. We also rely on third parties to conduct our preclinical studies in accordance with Good Laboratory Practice, or GLP, requirements and the Laboratory Animal Welfare Act of 1966 requirements. We, our CROs and our clinical trial sites are required to comply with regulations and current Good Clinical Practices, or GCP, and comparable foreign requirements to ensure that the health, safety and rights of patients are protected in clinical trials, and that data integrity is assured. Regulatory authorities ensure compliance with GCP requirements through periodic inspections of trial sponsors and trial sites. If we, any of our CROs or our clinical trial sites fail to comply with applicable GCP requirements, the clinical data generated in our clinical trials or a specific site may be deemed unreliable and the FDA or comparable foreign regulatory authorities may require us to perform additional clinical trials before approving our marketing applications.</w:t>
      </w:r>
    </w:p>
    <w:p>
      <w:pPr>
        <w:spacing w:after="0" w:line="15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Our CROs are not our employees, and except for remedies available to us under our agreements with such CROs, we cannot control whether or not they devote sufficient time and resources to our ongoing clinical and preclinical programs. If CROs do not successfully carry out their contractual obligations or meet expected timelines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in our supply chain could delay the commercial launch of our product candidates.</w:t>
      </w:r>
    </w:p>
    <w:p>
      <w:pPr>
        <w:spacing w:after="0" w:line="16"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4"/>
          <w:szCs w:val="14"/>
          <w:color w:val="auto"/>
        </w:rPr>
        <w:t>Any significant disruption in our supplier relationships could harm our business. We currently rely on a single source supplier of mavorixafor, as well a single supplier for the finished product capsules for mavorixafor. If either of these single source suppliers suffers a major natural or man-made disaster at its manufacturing facility, we would not be able to manufacture mavorixafor on a commercial scale until a qualified alternative supplier is identified. Although alternative sources of supply exist, the number of third party suppliers with the necessary manufacturing and regulatory expertise and facilities is limited, and it could be expensive and take a significant amount of time to arrange for alternative suppliers. Any significant delay in the supply of a product candidate or its key materials for an ongoing clinical study could considerably delay completion of our clinical studies, product testing and potential regulatory approval of our product candidates. If we or our manufacturers are unable to purchase these key materials after regulatory approval has been obtained for our product candidates, the commercial launch of our product candidates would be delayed, which would impair our ability to generate revenues from the sale of our product candidates.</w:t>
      </w:r>
    </w:p>
    <w:p>
      <w:pPr>
        <w:spacing w:after="0" w:line="337"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Our employees, principal investigators, CROs and consultants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4"/>
          <w:szCs w:val="14"/>
          <w:color w:val="auto"/>
        </w:rPr>
        <w:t>We are exposed to the risk that our employees, principal investigators, CROs and consultants may engage in fraudulent conduct or other illegal activity. Misconduct by these parties could include intentional failures to comply with FDA regulations or similar regulations of comparable foreign regulatory authorities, to provide accurate information to the FDA or comparable foreign regulatory authorities, to comply with manufacturing standards we have established, to comply with federal and state healthcare fraud and abuse laws and regulations and similar laws and regulations established and enforced by comparable foreign regulatory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0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authorities,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or third party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such as employee training,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8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We have established, and may seek to selectively establish in the future, collaborations, and, if we are unable to establish them on commercially reasonable terms, we may have to alter our development and commercialization plans.</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4"/>
          <w:szCs w:val="14"/>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4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candidates.</w:t>
      </w:r>
    </w:p>
    <w:p>
      <w:pPr>
        <w:spacing w:after="0" w:line="144"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We may depend on such collaborations for the development and commercialization of our product candidates. If those collaborations are not successful, we may not be able to capitalize on the market potential of our product candidates.</w:t>
      </w:r>
    </w:p>
    <w:p>
      <w:pPr>
        <w:spacing w:after="0" w:line="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4"/>
          <w:szCs w:val="14"/>
          <w:color w:val="auto"/>
        </w:rPr>
        <w:t>We have, and may selectively seek in the future, third-party collaborators for the development and commercialization of our product candidates.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Collaborations involving our product candidates pose many risks to us, including that:</w:t>
      </w:r>
    </w:p>
    <w:p>
      <w:pPr>
        <w:spacing w:after="0" w:line="72" w:lineRule="exact"/>
        <w:rPr>
          <w:sz w:val="20"/>
          <w:szCs w:val="20"/>
          <w:color w:val="auto"/>
        </w:rPr>
      </w:pPr>
    </w:p>
    <w:p>
      <w:pPr>
        <w:ind w:left="1280" w:hanging="257"/>
        <w:spacing w:after="0"/>
        <w:tabs>
          <w:tab w:leader="none" w:pos="1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these collaborations;</w:t>
      </w:r>
    </w:p>
    <w:p>
      <w:pPr>
        <w:spacing w:after="0" w:line="83" w:lineRule="exact"/>
        <w:rPr>
          <w:rFonts w:ascii="Times New Roman" w:cs="Times New Roman" w:eastAsia="Times New Roman" w:hAnsi="Times New Roman"/>
          <w:sz w:val="14"/>
          <w:szCs w:val="14"/>
          <w:color w:val="auto"/>
        </w:rPr>
      </w:pPr>
    </w:p>
    <w:p>
      <w:pPr>
        <w:ind w:left="1280" w:right="40" w:hanging="257"/>
        <w:spacing w:after="0" w:line="246" w:lineRule="auto"/>
        <w:tabs>
          <w:tab w:leader="none" w:pos="127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6" w:lineRule="exact"/>
        <w:rPr>
          <w:rFonts w:ascii="Times New Roman" w:cs="Times New Roman" w:eastAsia="Times New Roman" w:hAnsi="Times New Roman"/>
          <w:sz w:val="14"/>
          <w:szCs w:val="14"/>
          <w:color w:val="auto"/>
        </w:rPr>
      </w:pPr>
    </w:p>
    <w:p>
      <w:pPr>
        <w:ind w:left="1280" w:right="420" w:hanging="257"/>
        <w:spacing w:after="0" w:line="271" w:lineRule="auto"/>
        <w:tabs>
          <w:tab w:leader="none" w:pos="127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9" w:lineRule="exact"/>
        <w:rPr>
          <w:rFonts w:ascii="Times New Roman" w:cs="Times New Roman" w:eastAsia="Times New Roman" w:hAnsi="Times New Roman"/>
          <w:sz w:val="14"/>
          <w:szCs w:val="14"/>
          <w:color w:val="auto"/>
        </w:rPr>
      </w:pPr>
    </w:p>
    <w:p>
      <w:pPr>
        <w:ind w:left="1280" w:hanging="257"/>
        <w:spacing w:after="0" w:line="271" w:lineRule="auto"/>
        <w:tabs>
          <w:tab w:leader="none" w:pos="127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 or products if the collaborators believe that competitive products are more likely to be successfully developed or can be commercialized under terms that are more economically attractive than ours;</w:t>
      </w:r>
    </w:p>
    <w:p>
      <w:pPr>
        <w:spacing w:after="0" w:line="39" w:lineRule="exact"/>
        <w:rPr>
          <w:rFonts w:ascii="Times New Roman" w:cs="Times New Roman" w:eastAsia="Times New Roman" w:hAnsi="Times New Roman"/>
          <w:sz w:val="14"/>
          <w:szCs w:val="14"/>
          <w:color w:val="auto"/>
        </w:rPr>
      </w:pPr>
    </w:p>
    <w:p>
      <w:pPr>
        <w:ind w:left="1280" w:hanging="257"/>
        <w:spacing w:after="0" w:line="255" w:lineRule="auto"/>
        <w:tabs>
          <w:tab w:leader="none" w:pos="127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with marketing and distribution rights to one or more product candidates or products may not commit sufficient resources to the marketing and distribution of such drugs;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49" w:name="page50"/>
    <w:bookmarkEnd w:id="49"/>
    <w:p>
      <w:pPr>
        <w:ind w:left="1280" w:right="520" w:hanging="257"/>
        <w:spacing w:after="0" w:line="271" w:lineRule="auto"/>
        <w:tabs>
          <w:tab w:leader="none" w:pos="12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9" w:lineRule="exact"/>
        <w:rPr>
          <w:rFonts w:ascii="Times New Roman" w:cs="Times New Roman" w:eastAsia="Times New Roman" w:hAnsi="Times New Roman"/>
          <w:sz w:val="14"/>
          <w:szCs w:val="14"/>
          <w:color w:val="auto"/>
        </w:rPr>
      </w:pPr>
    </w:p>
    <w:p>
      <w:pPr>
        <w:ind w:left="1280" w:right="380" w:hanging="257"/>
        <w:spacing w:after="0" w:line="271" w:lineRule="auto"/>
        <w:tabs>
          <w:tab w:leader="none" w:pos="12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the collaborators and us that result in the delay or termination of the research, development or commercialization of our product candidates or products or that result in costly litigation or arbitration that diverts management attention and resources;</w:t>
      </w:r>
    </w:p>
    <w:p>
      <w:pPr>
        <w:spacing w:after="0" w:line="39"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lose certain valuable rights under circumstances identified in our collaborations if we undergo a change of control;</w:t>
      </w:r>
    </w:p>
    <w:p>
      <w:pPr>
        <w:spacing w:after="0" w:line="72" w:lineRule="exact"/>
        <w:rPr>
          <w:rFonts w:ascii="Times New Roman" w:cs="Times New Roman" w:eastAsia="Times New Roman" w:hAnsi="Times New Roman"/>
          <w:sz w:val="14"/>
          <w:szCs w:val="14"/>
          <w:color w:val="auto"/>
        </w:rPr>
      </w:pPr>
    </w:p>
    <w:p>
      <w:pPr>
        <w:ind w:left="1280" w:right="200" w:hanging="257"/>
        <w:spacing w:after="0" w:line="271" w:lineRule="auto"/>
        <w:tabs>
          <w:tab w:leader="none" w:pos="12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product candidates; and</w:t>
      </w:r>
    </w:p>
    <w:p>
      <w:pPr>
        <w:spacing w:after="0" w:line="39" w:lineRule="exact"/>
        <w:rPr>
          <w:rFonts w:ascii="Times New Roman" w:cs="Times New Roman" w:eastAsia="Times New Roman" w:hAnsi="Times New Roman"/>
          <w:sz w:val="14"/>
          <w:szCs w:val="14"/>
          <w:color w:val="auto"/>
        </w:rPr>
      </w:pPr>
    </w:p>
    <w:p>
      <w:pPr>
        <w:ind w:left="1280" w:right="100" w:hanging="257"/>
        <w:spacing w:after="0" w:line="246" w:lineRule="auto"/>
        <w:tabs>
          <w:tab w:leader="none" w:pos="12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agreements may not lead to development or commercialization of product candidates in the most efficient manner or at all. In addition, if a future collaborator of ours were to be involved in a business combination, the continued pursuit and emphasis on our product development or commercialization program under such collaboration could be delayed, diminished or terminated.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laws and rulings by U.S. courts make it difficult to predict how patents will be issued or enforced in our industry.</w:t>
      </w:r>
    </w:p>
    <w:p>
      <w:pPr>
        <w:spacing w:after="0" w:line="16"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4"/>
          <w:szCs w:val="14"/>
          <w:color w:val="auto"/>
        </w:rPr>
        <w:t>Changes in either the patent laws or interpretation of the patent laws in the United States and other countries may have a significant impact on our ability to protect our technology and enforce our intellectual property rights.</w:t>
      </w:r>
    </w:p>
    <w:p>
      <w:pPr>
        <w:spacing w:after="0" w:line="1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There have been numerous changes over the past ten years to the patent laws and to the rules of the United States Patent and Trademark Office (“USPTO”), which may have a significant impact on our ability to protect our technology and enforce our intellectual property rights. For example, the Leahy-Smith America Invents Act (“AIA”), which was signed into law in 2011, includes a transition from a “first-to-invent” system to a “first-to-file” system, and changes the way issued patents are challenged. Certain changes, such as the institution of inter partes review proceedings, that allow third parties to challenge newly issued patents, came into effect on September 16, 2012. The burden of proof required for challenging a patent in these proceedings is lower than in district court litigation, and patents in the biologics and pharmaceuticals industry have been successfully challenged using these new post-grant challenges. In addition, the U.S. Supreme Court has ruled on several patent cases in recent years, either narrowing the scope of patent protection available in specified circumstances or weakening the rights of patent owners in specified situations. Depending on decisions by the U.S. Congress, the federal courts, and the USPTO, these substantive changes to patent law associated with the AIA may further weaken our ability to obtain new patents or to enforce our existing patents and patents that we might obtain in the future, all of which could harm our business.</w:t>
      </w:r>
    </w:p>
    <w:p>
      <w:pPr>
        <w:spacing w:after="0" w:line="16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Furthermore, the patent positions of companies engaged in the development and commercialization of biologics and pharmaceuticals are particularly uncertain. We cannot assure you that our efforts to seek patent protection for our technology and products will not be negatively impacted by the changes described above, future rulings in district court cases or changes in guidance or procedures issued by the USPTO. We cannot fully predict what impact the Supreme Court’s decisions may have on the ability of life science companies to obtain or enforce patents relating to their products and technologies in the future.</w:t>
      </w:r>
    </w:p>
    <w:p>
      <w:pPr>
        <w:spacing w:after="0" w:line="16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our intellectual property rights, our competitive position could be harmed.</w:t>
      </w:r>
    </w:p>
    <w:p>
      <w:pPr>
        <w:spacing w:after="0" w:line="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We depend on our ability to protect our proprietary technology. We rely on trade secret, patent, copyright and trademark laws, and confidentiality, licensing and other agreements with employees and third parties, all of which offer only limited protection. Our success depends in large part on our ability to obtain and maintain patent protection in the United States and other countries with respect to our proprietary technology and products. Where we have the right to do so under our license agreements, we seek to protect our proprietary position by filing patent applications in the United States and abroad related to our novel technologies and products that are important to our business.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8" w:right="339" w:bottom="1440" w:gutter="0" w:footer="0" w:header="0"/>
        </w:sectPr>
      </w:pPr>
    </w:p>
    <w:bookmarkStart w:id="50" w:name="page51"/>
    <w:bookmarkEnd w:id="50"/>
    <w:p>
      <w:pPr>
        <w:ind w:right="220"/>
        <w:spacing w:after="0" w:line="271" w:lineRule="auto"/>
        <w:rPr>
          <w:sz w:val="20"/>
          <w:szCs w:val="20"/>
          <w:color w:val="auto"/>
        </w:rPr>
      </w:pPr>
      <w:r>
        <w:rPr>
          <w:rFonts w:ascii="Times New Roman" w:cs="Times New Roman" w:eastAsia="Times New Roman" w:hAnsi="Times New Roman"/>
          <w:sz w:val="14"/>
          <w:szCs w:val="14"/>
          <w:color w:val="auto"/>
        </w:rPr>
        <w:t>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1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4"/>
          <w:szCs w:val="14"/>
          <w:color w:val="auto"/>
        </w:rPr>
        <w:t>The steps we have taken to police and protect our proprietary rights may not be adequate to preclude misappropriation of our proprietary information or infringement of our intellectual property rights, both inside and outside the United States. The rights already granted under any of our currently issued patents and those that may be granted under future issued patents may not provide us with the proprietary protection or competitive advantages that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respect to patent rights, we do not know whether any of the pending patent applications for any of our product candidates will result in the issuance of patents that protect our technology or products, or which will effectively prevent others from commercializing competitive technologies and products. Our pending applications cannot be enforced against third parties practicing the technology claimed in such applications unless and until a patent issues from such applications. Further, the examination process may require us or our licensors to narrow the claims, which may limit the scope of patent protection that may be obtained. Although our license agreement with Genzyme includes a number of issued patents that are exclusively licensed to us,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may, in some cases, not be possible. In some cases, it may be difficult or impossible to detect third party infringement or misappropriation of our intellectual property rights, even in relation to issued patent claims, and proving any such infringement may be even more difficult.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required to incur significant expenses to obtain our intellectual property rights, and we cannot ensure that we will obtain meaningful patent protection for our product candidates.</w:t>
      </w:r>
    </w:p>
    <w:p>
      <w:pPr>
        <w:spacing w:after="0" w:line="1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4"/>
          <w:szCs w:val="14"/>
          <w:color w:val="auto"/>
        </w:rPr>
        <w:t>The patent prosecution process is expensive and time-consuming, and we may not be able to file and prosecute all necessary or desirable patent applications at a reasonable cost or in a timely manner. In addition, it is also possible that we will fail to identify patentable aspects of further inventions made in the course of our development and commercialization activities before they are publicly disclosed, making it too late to obtain patent protection on them. Further, given the amount of time required for the development, testing and regulatory review of new product candidates, patents protecting such candidates might expire before or shortly after such candidates are commercialized.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a patent that covers an approved product where the permission for the commercial marketing or use of the product is the first permitted commercial marketing or use, and as long as the remaining term of the patent does not exceed 14 years.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 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and these foreign laws may also be subject to change.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w:t>
      </w:r>
    </w:p>
    <w:p>
      <w:pPr>
        <w:spacing w:after="0" w:line="14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1" w:name="page52"/>
    <w:bookmarkEnd w:id="51"/>
    <w:p>
      <w:pPr>
        <w:ind w:right="40"/>
        <w:spacing w:after="0" w:line="246" w:lineRule="auto"/>
        <w:rPr>
          <w:sz w:val="20"/>
          <w:szCs w:val="20"/>
          <w:color w:val="auto"/>
        </w:rPr>
      </w:pPr>
      <w:r>
        <w:rPr>
          <w:rFonts w:ascii="Times New Roman" w:cs="Times New Roman" w:eastAsia="Times New Roman" w:hAnsi="Times New Roman"/>
          <w:sz w:val="14"/>
          <w:szCs w:val="14"/>
          <w:color w:val="auto"/>
        </w:rPr>
        <w:t>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have a material adverse effect on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 candidates for an adequate amount of time.</w:t>
      </w:r>
    </w:p>
    <w:p>
      <w:pPr>
        <w:spacing w:after="0" w:line="16"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intellectual property, which could be expensive, time consuming and unsuccessful.</w:t>
      </w:r>
    </w:p>
    <w:p>
      <w:pPr>
        <w:spacing w:after="0" w:line="1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4"/>
          <w:szCs w:val="14"/>
          <w:color w:val="auto"/>
        </w:rPr>
        <w:t>In addition to the possibility of litigation relating to infringement claims asserted against it, we may become a party to other patent litigation and other proceedings, including inter partes review proceedings, post-grant review proceedings, derivation proceedings declared by the USPTO and similar proceedings in foreign countries, regarding intellectual property rights with respect to our current or future technologies or product candidates or products.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4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146"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4"/>
          <w:szCs w:val="14"/>
          <w:color w:val="auto"/>
        </w:rPr>
        <w:t>If the breadth or strength of our patent or other intellectual property rights is compromised or threatened, it could allow third parties to commercialize our technology or products or result in our inability to commercialize our technology and products without infringing third-party intellectual property rights. Further, third parties may be dissuaded from collaborating with us.</w:t>
      </w:r>
    </w:p>
    <w:p>
      <w:pPr>
        <w:spacing w:after="0" w:line="13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14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Moreover, intellectual property law relating to the fields in which we operate is still evolving and, consequently, patent and other intellectual property positions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4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party to several license agreements and may need to obtain additional licenses from others to advance our research and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52" w:name="page53"/>
    <w:bookmarkEnd w:id="52"/>
    <w:p>
      <w:pPr>
        <w:ind w:right="40"/>
        <w:spacing w:after="0" w:line="238" w:lineRule="auto"/>
        <w:rPr>
          <w:sz w:val="20"/>
          <w:szCs w:val="20"/>
          <w:color w:val="auto"/>
        </w:rPr>
      </w:pPr>
      <w:r>
        <w:rPr>
          <w:rFonts w:ascii="Times New Roman" w:cs="Times New Roman" w:eastAsia="Times New Roman" w:hAnsi="Times New Roman"/>
          <w:sz w:val="14"/>
          <w:szCs w:val="14"/>
          <w:color w:val="auto"/>
        </w:rPr>
        <w:t>development activities or allow the commercialization of our current product candidates and any that we may identify and pursue in the future. Our currently license agreements impose, and we expect that future license agreements will impose, various development, diligence, commercialization, and other obligations on us.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may gain the freedom to seek regulatory approval of, and to market, products identical to ours and we may be required to cease our development and commercialization of our product candidates. Any of the foregoing could have a material adverse effect on our competitive position, business, financial conditions, results of operations,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Moreover, disputes may arise regarding intellectual property subject to a licensing agreement, including:</w:t>
      </w:r>
    </w:p>
    <w:p>
      <w:pPr>
        <w:spacing w:after="0" w:line="83" w:lineRule="exact"/>
        <w:rPr>
          <w:sz w:val="20"/>
          <w:szCs w:val="20"/>
          <w:color w:val="auto"/>
        </w:rPr>
      </w:pPr>
    </w:p>
    <w:p>
      <w:pPr>
        <w:ind w:left="1280" w:hanging="257"/>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our product candidates, technology and processes infringe on intellectual property of the licensor that is not subject to the licensing agreement;</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sublicensing of patent and other rights under our collaborative development relationships;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under the license agreement and what activities satisfy those diligence obligations;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and ownership of inventions and know-how resulting from the joint creation or use of intellectual property by our licensors and us and our partners; and</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16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From time to time, we may need to rely on licenses to proprietary technologies, which may be difficult or expensive to obtain or we may lose certain licenses which may be difficult to replace.</w:t>
      </w:r>
    </w:p>
    <w:p>
      <w:pPr>
        <w:spacing w:after="0" w:line="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We may need to obtain licenses to patents and other proprietary rights held by third parties to develop, manufacture and market our product candidates. If we are unable to timely obtain these licenses on commercially reasonable terms and maintain these licenses, our ability to commercially market our product candidates may be inhibited or prevented, which could have a material adverse effect on our business, results of operations, financial condition and cash flows.</w:t>
      </w:r>
    </w:p>
    <w:p>
      <w:pPr>
        <w:spacing w:after="0" w:line="14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4"/>
          <w:szCs w:val="14"/>
          <w:color w:val="auto"/>
        </w:rPr>
        <w:t>Our commercial success depends upon our ability to develop, manufacture, market and sell our product candidates, and to use our proprietary technologies without infringing the proprietary rights of third parties. We may become party to, or threatened with, future adversarial proceedings or litigation regarding intellectual property rights with respect to our products and technology, including interference and various post grant proceedings before the USPTO, non-U.S. opposition proceedings, and German nullity proceedings. Third parties may assert infringement claims against us based on existing patents or patents that may be granted in the future.</w:t>
      </w:r>
    </w:p>
    <w:p>
      <w:pPr>
        <w:spacing w:after="0" w:line="14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As a result of any such infringement claims, or to avoid potential claims, we may choose or be compelled to seek intellectual property licenses from third parties. These licenses may not be available on acceptable terms, or at all. Even if we are able to obtain a license, the license would likely obligate us to pay license fees or royalties or both, and the rights granted to us likely would be nonexclusive, which would mean that our competitors also could obtain licenses to the same intellectual property. Ultimately, we could be prevented from commercializing a product candidate or technology or be forced to cease some aspect of our business operations if, as a result of actual or threatened infringement claims, we are unable to enter into licenses of the relevant intellectual property on acceptable terms. Further, if we attempt to modify a product candidate or technology or to develop alternative methods or products in response to infringement claims or to avoid potential claims, we could incur substantial costs, encounter delays in product introductions or interruptions in sales. Ultimately, such efforts could be unsuccessful.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53" w:name="page54"/>
    <w:bookmarkEnd w:id="53"/>
    <w:p>
      <w:pPr>
        <w:spacing w:after="0" w:line="243" w:lineRule="auto"/>
        <w:rPr>
          <w:sz w:val="20"/>
          <w:szCs w:val="20"/>
          <w:color w:val="auto"/>
        </w:rPr>
      </w:pPr>
      <w:r>
        <w:rPr>
          <w:rFonts w:ascii="Times New Roman" w:cs="Times New Roman" w:eastAsia="Times New Roman" w:hAnsi="Times New Roman"/>
          <w:sz w:val="14"/>
          <w:szCs w:val="14"/>
          <w:color w:val="auto"/>
        </w:rPr>
        <w:t>Parties making claims against us may obtain injunctive or other equitable relief, which could effectively block our ability to further develop and commercialize our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4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could cause us to spend substantial resources and distract our personnel from their normal responsibilities.</w:t>
      </w:r>
    </w:p>
    <w:p>
      <w:pPr>
        <w:spacing w:after="0" w:line="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4"/>
          <w:szCs w:val="14"/>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14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trade secrets are difficult to protect and if we are unable to protect the confidentiality of our trade secrets, our business and competitive position would be harmed.</w:t>
      </w:r>
    </w:p>
    <w:p>
      <w:pPr>
        <w:spacing w:after="0" w:line="1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In addition to seeking patents for some of our technologies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non-competition, non-solicitation, and invention assignment agreements with our employees and consultants that obligate them to assign to us any inventions developed in the course of their work for us. However, we cannot guarantee that we have executed these agreements with each party that may have or have had access to our trade secrets or that the agreements we have executed will provide adequate protection. Despite these efforts, any of these parties may breach the agreements and disclose our proprietary information, including our trade secrets, and we may not be able to obtain adequate remedies for such breaches. As a result, we may be forced to bring claims against third parties, or defend claims that they bring against us, to determine ownership of what we regard as our intellectual property. Monitoring unauthorized disclosure is difficult and we do not know whether the procedures that we have followed to prevent such disclosure are or will be adequate. Enforcing a claim that a party illegally disclosed or misappropriated a trade secret is difficult, expensive and time-consuming, and the outcome is unpredictable. In addition, some courts inside and outside the United States may be less willing or unwilling to protect trade secrets. If any of the technology or information that we protect as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have wrongfully used or disclosed alleged trade secrets of their former employers.</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color w:val="auto"/>
        </w:rPr>
        <w:t>Our employees, including members of our senior management, were previously employed at other biotechnology or pharmaceutical companies, including our competitors or potential competitors. All such individuals, including each member of our senior management,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or concerning the agreements with our senior management,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Filing, prosecuting and defending patents on all of our product candidates throughout the world would be prohibitively expensive. In general, we have sought patent protection of our intellectual property in the following jurisdictions: US, Canada, China, Japan and in countries within Europe via the European Patent Office.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3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6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As another example, the complexity and uncertainty of European patent laws have increased in recent years. In Europe, a new unitary patent system will likely be introduced by the end of 2023, which would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 Employee Matters and Managing Growth</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executives and to attract, retain and motivate key personnel in a competitive environment for skilled biotechnology personnel.</w:t>
      </w:r>
    </w:p>
    <w:p>
      <w:pPr>
        <w:spacing w:after="0" w:line="1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Because of the specialized scientific and managerial nature of our business, we rely heavily on our ability to attract and retain qualified scientific, technical and managerial personnel. We are also highly dependent upon members of our current management team, including Paula Ragan, Ph.D., our Chief Executive Officer. The loss of the services provided by these individuals will adversely impact the achievement of our objectives. These individuals could leave our employment at any time, as they are “at will” employees. Effective succession planning is also important to our long-term success. Failure to ensure effective transfer of knowledge and smooth transitions involving key employees could hinder our strategic planning and execution. For example, our former Chief Medical Officer resigned in November 2022 and we have engaged an interim Chief Medical Officer while we complete a search for a permanent Chief Medical Officer. While we expect to engage in an orderly transition process if and when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55" w:name="page56"/>
    <w:bookmarkEnd w:id="55"/>
    <w:p>
      <w:pPr>
        <w:jc w:val="both"/>
        <w:spacing w:after="0" w:line="243" w:lineRule="auto"/>
        <w:rPr>
          <w:sz w:val="20"/>
          <w:szCs w:val="20"/>
          <w:color w:val="auto"/>
        </w:rPr>
      </w:pPr>
      <w:r>
        <w:rPr>
          <w:rFonts w:ascii="Times New Roman" w:cs="Times New Roman" w:eastAsia="Times New Roman" w:hAnsi="Times New Roman"/>
          <w:sz w:val="14"/>
          <w:szCs w:val="14"/>
          <w:color w:val="auto"/>
        </w:rPr>
        <w:t>Our success will depend on our ability to retain our management team and other key employees, and to attract and retain qualified personnel in the future. The loss of the services of certain members of our senior management or key employees could prevent or delay the implementation and completion of our strategic objectives, or divert management’s attention to seeking qualified replacements. The competition for qualified personnel in the pharmaceutical field is intense and we cannot guarantee that we will be able to retain our current personnel or attract and retain new qualified personnel necessary for the development of our business or to recruit suitable replacement personnel.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need to grow the size of our organization, and we may experience difficulties in managing this growth.</w:t>
      </w:r>
    </w:p>
    <w:p>
      <w:pPr>
        <w:spacing w:after="0" w:line="6"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4"/>
          <w:szCs w:val="14"/>
          <w:color w:val="auto"/>
        </w:rPr>
        <w:t>As of December 31, 2022, we had 70 full-time employees. Although we announced a reduction in workforce of approximately 20% in July 2022 as part of our streamlining of resources to focus on advancing our lead clinical candidate, mavorixafor, as our development and commercialization plans and strategies develop, or as a result of any future acquisitions, we will need additional managerial, operational, development, sales, marketing, financial and other resources. Our management, personnel and systems currently in place will not be adequate to support this future growth. Future growth would impose significant added responsibilities on our employees, including:</w:t>
      </w:r>
    </w:p>
    <w:p>
      <w:pPr>
        <w:spacing w:after="0" w:line="62" w:lineRule="exact"/>
        <w:rPr>
          <w:sz w:val="20"/>
          <w:szCs w:val="20"/>
          <w:color w:val="auto"/>
        </w:rPr>
      </w:pPr>
    </w:p>
    <w:p>
      <w:pPr>
        <w:ind w:left="1280" w:hanging="257"/>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our clinical trials effectively;</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recruiting, maintaining, motivating and integrating additional employees;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our internal development efforts effectively while complying with our contractual obligations to licensors, contractors and other third parties;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our managerial, development, operational and finance systems; and</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facilities.</w:t>
      </w:r>
    </w:p>
    <w:p>
      <w:pPr>
        <w:spacing w:after="0" w:line="1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As our operations expand, we will need to manage additional relationships with various strategic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research and development, and sales and marketing personnel. We may not be able to accomplish these tasks, and our failure to accomplish any of them could prevent us from successfully growing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pharmaceutical industry is highly competitive and is subject to rapid and significant technological change, which could render our technologies and products obsolete or uncompetitive.</w:t>
      </w:r>
    </w:p>
    <w:p>
      <w:pPr>
        <w:spacing w:after="0" w:line="16"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4"/>
          <w:szCs w:val="14"/>
          <w:color w:val="auto"/>
        </w:rPr>
        <w:t>The pharmaceutical industry is highly competitive and is subject to rapid and significant technological change, which could render certain of our products obsolete or uncompetitive. This is particularly true in the development of therapeutics for oncology indications where new products and combinations of products are rapidly being developed that change the treatment paradigm for patients. There is no assurance that our product candidates will be the best, have the best safety profile, be the first to market, or be the most economical to make or use. The introduction of competitive therapies as alternatives to our product candidates could dramatically reduce the value of those development projects or chances of successfully commercializing those product candidates, which could have a material adverse effect on our long-term financial success.</w:t>
      </w:r>
    </w:p>
    <w:p>
      <w:pPr>
        <w:spacing w:after="0" w:line="16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4"/>
          <w:szCs w:val="14"/>
          <w:color w:val="auto"/>
        </w:rPr>
        <w:t>We will compete with companies in the United States and internationally, including major pharmaceutical and chemical companies, specialized CROs, research and development firms, universities and other research institutions. Many of our competitors have greater financial resources and selling and marketing capabilities, greater experience in clinical testing and human clinical trials of pharmaceutical products and greater experience in obtaining FDA and other regulatory approvals than we do. In addition, some of our competitors may have lower development and manufacturing costs.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14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In the ordinary course of our business, we, our contract research organizations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03" w:right="339" w:bottom="1440" w:gutter="0" w:footer="0" w:header="0"/>
        </w:sectPr>
      </w:pPr>
    </w:p>
    <w:bookmarkStart w:id="56" w:name="page57"/>
    <w:bookmarkEnd w:id="56"/>
    <w:p>
      <w:pPr>
        <w:spacing w:after="0" w:line="246" w:lineRule="auto"/>
        <w:rPr>
          <w:sz w:val="20"/>
          <w:szCs w:val="20"/>
          <w:color w:val="auto"/>
        </w:rPr>
      </w:pPr>
      <w:r>
        <w:rPr>
          <w:rFonts w:ascii="Times New Roman" w:cs="Times New Roman" w:eastAsia="Times New Roman" w:hAnsi="Times New Roman"/>
          <w:sz w:val="14"/>
          <w:szCs w:val="14"/>
          <w:color w:val="auto"/>
        </w:rPr>
        <w:t>The secure processing, storage, maintenance and transmission of this critical information is vital to our operations and business strategy. Additionally,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w:t>
      </w:r>
    </w:p>
    <w:p>
      <w:pPr>
        <w:spacing w:after="0" w:line="16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4"/>
          <w:szCs w:val="14"/>
          <w:color w:val="auto"/>
        </w:rPr>
        <w:t>In addition, we have implemented a work model that has enabled substantially all of our employees to periodically work remotely, which may make us more vulnerable to cyberattacks. Any such event could compromise our networks and the information stored there could be accessed by unauthorized parties, publicly disclosed, lost or stolen. 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selling, general and administrative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to offset future taxable income may be subject to certain limitations.</w:t>
      </w:r>
    </w:p>
    <w:p>
      <w:pPr>
        <w:spacing w:after="0" w:line="16"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4"/>
          <w:szCs w:val="14"/>
          <w:color w:val="auto"/>
        </w:rPr>
        <w:t>Our net operating loss (“NOL”) carryforwards could expire unused and be unavailable to offset future tax liabilities because of their limited duration or because of restrictions under U.S. tax law. As of December 31, 2022, we had U.S. federal and state NOLs of $342.9 million and $336.5 million, respectively. Our NOLs generated in tax years ending on or prior to December 31, 2017 are only permitted to be carried forward for 20 years under applicable U.S. tax law. Under the Tax Act, as modified by the CARES Act, our federal NOLs generated in tax years ending after December 31, 2017 may be carried forward indefinitely, but the deductibility of federal NOLs, particularly for tax years beginning after December 31, 2020, may be limited. It is uncertain if and to what extent various states will conform to the Tax Act and the CARES Act.</w:t>
      </w:r>
    </w:p>
    <w:p>
      <w:pPr>
        <w:spacing w:after="0" w:line="16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Section 382 of the Internal Revenue Code of 1986, as amended, or Section 382, contains rules that limit the ability of a company that undergoes an ownership change to utilize its net operating losses, or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among stockholders considered by the rules as owning, directly or indirectly, 5% or more of the stock of a company and any change in ownership arising from new issuances of stock by the company. We have experienced multiple ownership changes since our inception and are conducting a study to assess whether an ownership change has occurred and whether these ownership changes will limit the future use of our NOL carryforwards. Future ownership changes as defined by Section 382 may further limit the amount of NOL carryforwards that could be utilized annually to offset future taxable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term loan contains restrictions that limit our flexibility in operating our business.</w:t>
      </w:r>
    </w:p>
    <w:p>
      <w:pPr>
        <w:spacing w:after="0" w:line="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4"/>
          <w:szCs w:val="14"/>
          <w:color w:val="auto"/>
        </w:rPr>
        <w:t>In October 2018, we entered into a loan and security agreement, as most recently amended and restated in January 2023, with Hercules, secured by a lien on substantially all of our assets, excluding intellectual property. This loan contains various covenants that limit our ability to engage in specified types of transactions. These covenants limit our ability to, among other things:</w:t>
      </w:r>
    </w:p>
    <w:p>
      <w:pPr>
        <w:spacing w:after="0" w:line="56" w:lineRule="exact"/>
        <w:rPr>
          <w:sz w:val="20"/>
          <w:szCs w:val="20"/>
          <w:color w:val="auto"/>
        </w:rPr>
      </w:pPr>
    </w:p>
    <w:p>
      <w:pPr>
        <w:ind w:left="1280" w:hanging="257"/>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lease or dispose of certain assets;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indebtedness;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encumber or permit liens on certain assets;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investments;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restricted payments, including paying dividends on, or repurchasing or making distributions with respect to, our common stock; and</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57" w:name="page58"/>
    <w:bookmarkEnd w:id="57"/>
    <w:p>
      <w:pPr>
        <w:ind w:right="20"/>
        <w:spacing w:after="0" w:line="238" w:lineRule="auto"/>
        <w:rPr>
          <w:sz w:val="20"/>
          <w:szCs w:val="20"/>
          <w:color w:val="auto"/>
        </w:rPr>
      </w:pPr>
      <w:r>
        <w:rPr>
          <w:rFonts w:ascii="Times New Roman" w:cs="Times New Roman" w:eastAsia="Times New Roman" w:hAnsi="Times New Roman"/>
          <w:sz w:val="14"/>
          <w:szCs w:val="14"/>
          <w:color w:val="auto"/>
        </w:rPr>
        <w:t>The covenants also include a requirement that we maintain cash in an aggregate amount greater than or equal to $20 million; provided, however, that following the FDA approval of the sale and marketing of mavorixafor for the treatment to patients with WHIM syndrome, the required level shall be reduced to $10 million. Based on our current cash and cash equivalents and our current operating plan, we believe that if we fail to raise additional capital, we would be in violation of the minimum cash described above in the first quarter of 2024. A breach of any of the covenants under the loan and security agreement could result in a default under the loan. Upon the occurrence of an event of default under the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them to secure such indebtedness.</w:t>
      </w:r>
    </w:p>
    <w:p>
      <w:pPr>
        <w:spacing w:after="0" w:line="16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business could be adversely affected by economic downturns, inflation, increases in interest rates, natural disasters, public health crises such as the COVID-19 pandemic, political crises, geopolitical events, such as the war in Ukraine, or other macroeconomic conditions, which have in the past and may in the future negatively impact our business and financial performance. </w:t>
      </w:r>
      <w:r>
        <w:rPr>
          <w:rFonts w:ascii="Times New Roman" w:cs="Times New Roman" w:eastAsia="Times New Roman" w:hAnsi="Times New Roman"/>
          <w:sz w:val="14"/>
          <w:szCs w:val="14"/>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U.S. Federal Reserve recently raised interest rates multiple times in response to concerns about inflation and it may raise them again. Higher interest rates, coupled with reduced government spending and volatility in financial markets may increase economic uncertainty. If the equity and credit markets deteriorate, including as a result of political unrest or war, such as the war in Ukraine,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has been and is likely to continue to be volatile and fluctuate substantially.</w:t>
      </w:r>
    </w:p>
    <w:p>
      <w:pPr>
        <w:spacing w:after="0" w:line="16"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14"/>
          <w:szCs w:val="14"/>
          <w:color w:val="auto"/>
        </w:rPr>
        <w:t>The market price of our common stock has been and could continue to be subject to significant fluctuations. Market prices for securities of pharmaceutical, biotechnology and other life sciences companies have historically been particularly volatile. Some of the factors that may cause the market price of our common stock to fluctuate include:</w:t>
      </w:r>
    </w:p>
    <w:p>
      <w:pPr>
        <w:spacing w:after="0" w:line="61" w:lineRule="exact"/>
        <w:rPr>
          <w:sz w:val="20"/>
          <w:szCs w:val="20"/>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our collaborators to develop product candidates and conduct clinical trials that demonstrate such product candidates are safe and effective;</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our collaborators to obtain regulatory approvals for product candidates, and delays or failures to obtain such approvals;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any our product candidates to demonstrate safety and efficacy, receive regulatory approval and achieve commercial success;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our existing third-party license, manufacturing and supply agreements;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or our licensors to prosecute, maintain or enforce our intellectual property rights;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current or future product candidates;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to obtain adequate supply of product candidates or the inability to do so at acceptable prices;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decisions by regulatory authorities;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or competing products by our competitors;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that we may provide to the public;</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perception of the pharmaceutical industry by the public, legislatures, regulators and the investment community;</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collaborations, joint ventures or capital commitments by us or our competitors;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intellectual property protection for our technologies;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intellectual property or stockholder litigation;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8" w:right="339" w:bottom="1440" w:gutter="0" w:footer="0" w:header="0"/>
        </w:sectPr>
      </w:pPr>
    </w:p>
    <w:bookmarkStart w:id="58" w:name="page59"/>
    <w:bookmarkEnd w:id="58"/>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of material developments in our business, financial condition and/or operations;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us, or if they issue an adverse or misleading opinions regarding our business and stock;</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macroeconomic, political and market conditions and overall fluctuations in the financial markets in the United States and abroad;</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or our stockholders in the future;</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relating to our markets generally, including with respect to other products and potential products in such markets;</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 care payment systems;</w:t>
      </w:r>
    </w:p>
    <w:p>
      <w:pPr>
        <w:spacing w:after="0" w:line="72"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our financial results; and</w:t>
      </w:r>
    </w:p>
    <w:p>
      <w:pPr>
        <w:spacing w:after="0" w:line="8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 and elsewhere in this Annual Report</w:t>
      </w:r>
    </w:p>
    <w:p>
      <w:pPr>
        <w:spacing w:after="0" w:line="16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4"/>
          <w:szCs w:val="14"/>
          <w:color w:val="auto"/>
        </w:rPr>
        <w:t>In addition, companies trading in the stock market in general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business, financial condition, results of operations and reputation.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“Penny stock” rules may make buying or selling our securities difficult which may make our stock less liquid and make it harder for investors to buy and sell our securities.</w:t>
      </w:r>
    </w:p>
    <w:p>
      <w:pPr>
        <w:spacing w:after="0" w:line="1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Trading in our securities is subject to the SEC’s “penny stock” rules and it is anticipated that trading in our securities will continue to be subject to the penny stock rules for the foreseeable future. The SEC has adopted regulations that generally define a penny stock to be any equity security that has a market price of less than $5.00 per share, subject to certain exceptions. These rules require that any broker-dealer who recommends our securities to persons other than prior customers and accredited investors must, prior to the sale, make a special written suitability determination for the purchaser and receive the purchaser’s written agreement to execute the transaction. Unless an exception is available, the regulations require the delivery, prior to any transaction involving a penny stock, of a disclosure schedule explaining the penny stock market and the risks associated with trading in the penny stock market. In addition, broker-dealers must disclose commissions payable to both the broker-dealer and the registered representative and current quotations for the securities they offer.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our business or if they publish negative evaluations of our stock, the price of our stock could decline.</w:t>
      </w:r>
    </w:p>
    <w:p>
      <w:pPr>
        <w:spacing w:after="0" w:line="1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in part, on the research and reports that industry or financial analysts publish about us or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anticipate that we will pay any cash dividends in the foreseeable future.</w:t>
      </w:r>
    </w:p>
    <w:p>
      <w:pPr>
        <w:spacing w:after="0" w:line="16"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4"/>
          <w:szCs w:val="14"/>
          <w:color w:val="auto"/>
        </w:rPr>
        <w:t>The current expectation is that we will retain our future earnings to fund the development and growth of our business. In addition, the terms of our debt agreements may preclude us from paying dividends. As a result, capital appreciation, if any, of our common stock will be your sole source of gain, if any, for the foreseeable future. We are prohibited from declaring or paying any cash dividends under our existing loan and security agreement with Hercules.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in the public market could cause our stock price to decline.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or the perception that these sales might occur, could depress the market price of our common stock and could impair</w:t>
      </w:r>
    </w:p>
    <w:p>
      <w:pPr>
        <w:spacing w:after="0" w:line="7"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4"/>
          <w:szCs w:val="14"/>
          <w:color w:val="auto"/>
        </w:rPr>
        <w:t>our ability to raise capital through the sale of additional equity securities. We are unable to predict the effect that sales, particularly sales by our directors, executive officers, and significant stockholders, may have on the prevailing market price of our common stock.</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we have filed registration statements on Form S-8 registering the issuance of shares of common stock subject to options or other equity awards issued or reserved for future issuance under our equity incentive plans. Shares registered under these registration statements are available for sale in the public market subject to vesting arrangements and exercise of options, as well as Rule 144 in the case of our affiliates.</w:t>
      </w:r>
    </w:p>
    <w:p>
      <w:pPr>
        <w:spacing w:after="0" w:line="140"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4"/>
          <w:szCs w:val="14"/>
          <w:color w:val="auto"/>
        </w:rPr>
        <w:t>We are subject to the reporting requirements of the Securities Exchange Act of 1934, as amended (the “Exchange Act”), the Sarbanes-Oxley Act of 2002 and the rules and regulations of The Nasdaq Stock Market (“Nasdaq”). Pursuant to Section 404 of the Sarbanes-Oxley Act of 2002 (“Section 404”), we are required to perform system and process evaluation and testing of our internal control over financial reporting to allow our management to report on the effectiveness of our internal control over financial reporting in this Annual Report.</w:t>
      </w:r>
    </w:p>
    <w:p>
      <w:pPr>
        <w:spacing w:after="0" w:line="1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as and when required, conducted in connection with Section 404, or any subsequent testing by our independent registered public accounting firm, as and when required, may reveal deficiencies in our internal control over financial reporting that are deemed to be significant deficiencies or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4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Pursuant to Section 404, we are required to furnish a report by our management on our internal control over financial reporting beginning with this Annual Report. However, while we remain a non-accelerated filer, we will not be required to include an attestation report on internal control over financial reporting issued by our independent registered public accounting firm. When we cease to be a smaller reporting company and no longer qualify as a non-accelerated filer, we will be required to incur substantial additional professional fees and internal costs to expand our accounting and finance functions in order to include such attestation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in the future discover weaknesses in our system of internal financial and accounting controls and procedures that could result in a material misstatement of our consolidated financial statements. Our internal control over financial reporting will not prevent or detect all error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identify one or more material weaknesses in our internal controls, investors could lose confidence in the reliability of our consolidated financial statements, the market price of our stock could decline and we could be subject to sanctions or investigations by Nasdaq, the SEC or other regulatory authorities.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cannot predict if the reduced reporting requirements applicable to smaller reporting companies will make our securities less attractive to investors.</w:t>
      </w:r>
    </w:p>
    <w:p>
      <w:pPr>
        <w:spacing w:after="0" w:line="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We are a “smaller reporting company” under the Exchange Act as of June 30, 2022. We may continue to be a smaller reporting company if either (i) the market value of our common stock held by non-affiliates is less than $250 million or (ii) our annual revenue was less than $100.0 million during the most recently completed fiscal year and the market value of our common stock held by non-affiliates is less than $700.0 million. As a smaller reporting company, we may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 For so long as we remain a smaller reporting company, we are permitted and intend to rely on such exemptions from certain disclosure and other requirements that are applicable to other public companies that are not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60" w:name="page61"/>
    <w:bookmarkEnd w:id="60"/>
    <w:p>
      <w:pPr>
        <w:ind w:right="280"/>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securities less attractive because we may rely on the exemptions and reduced disclosure obligations applicable to smaller reporting companies. If some investors find our securities less attractive as a result, there may be a less active trading market for our common stock and our stock price may be more volatile.</w:t>
      </w:r>
    </w:p>
    <w:p>
      <w:pPr>
        <w:spacing w:after="0" w:line="13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securities class action litigation or shareholder derivative litigation that could divert management’s attention and harm our business and insurance coverage may not be sufficient to cover all costs and damages.</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In the past, securities class action or shareholder derivative litigation has often followed certain significant business transactions, such as the sale of a business division or announcement of a merger. This risk is especially relevant for us because biopharmaceutical companies have experienced significant stock price volatility in recent years. We may become involved in this type of litigation in the future.The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 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34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14"/>
          <w:szCs w:val="14"/>
          <w:color w:val="auto"/>
        </w:rPr>
        <w:t>Provisions in our corporate charter and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 w:lineRule="exact"/>
        <w:rPr>
          <w:sz w:val="20"/>
          <w:szCs w:val="20"/>
          <w:color w:val="auto"/>
        </w:rPr>
      </w:pPr>
    </w:p>
    <w:p>
      <w:pPr>
        <w:ind w:left="500" w:hanging="240"/>
        <w:spacing w:after="0"/>
        <w:tabs>
          <w:tab w:leader="none" w:pos="50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establish a classified board of directors such that not all members of the board are elected at one time;</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allow the authorized number of our directors to be changed only by resolution of the board of directors;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limit the manner in which stockholders can remove directors from the board;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establish advance notice requirements for stockholder proposals that can be acted on at stockholder meetings and nominations to the board of directors;</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that stockholder actions must be effected at a duly called stockholder meeting and prohibit actions by our stockholders by written consent;</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limit who may call stockholder meetings;</w:t>
      </w:r>
    </w:p>
    <w:p>
      <w:pPr>
        <w:spacing w:after="0" w:line="12" w:lineRule="exact"/>
        <w:rPr>
          <w:rFonts w:ascii="Arial" w:cs="Arial" w:eastAsia="Arial" w:hAnsi="Arial"/>
          <w:sz w:val="17"/>
          <w:szCs w:val="17"/>
          <w:color w:val="auto"/>
        </w:rPr>
      </w:pPr>
    </w:p>
    <w:p>
      <w:pPr>
        <w:ind w:left="520" w:right="20" w:hanging="260"/>
        <w:spacing w:after="0" w:line="220" w:lineRule="auto"/>
        <w:tabs>
          <w:tab w:leader="none" w:pos="516"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authorize the board of directors to issue preferred stock without stockholder approval, which could be used to institute a shareholder rights plan, or so-called “poison pill,” that would work to dilute the stock ownership of a potential hostile acquirer, effectively preventing acquisitions that have not been approved by the board of directors; and</w:t>
      </w:r>
    </w:p>
    <w:p>
      <w:pPr>
        <w:ind w:left="500" w:hanging="240"/>
        <w:spacing w:after="0" w:line="234" w:lineRule="auto"/>
        <w:tabs>
          <w:tab w:leader="none" w:pos="500" w:val="left"/>
        </w:tabs>
        <w:numPr>
          <w:ilvl w:val="0"/>
          <w:numId w:val="51"/>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the approval of the holders of at least 75% of the votes that all our stockholders would be entitled to cast to amend or repeal certain provisions of our charter or by-laws.</w:t>
      </w:r>
    </w:p>
    <w:p>
      <w:pPr>
        <w:spacing w:after="0" w:line="167"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prohibits a person who owns in excess of 15% of our outstanding voting stock from merging or combining with the Company for a period of three years after the date of the transaction in which the person acquired in excess of 15% of our outstanding voting stock, unless the merger or combination is approved in a prescribed manner.</w:t>
      </w:r>
    </w:p>
    <w:p>
      <w:pPr>
        <w:spacing w:after="0" w:line="2"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4"/>
          <w:szCs w:val="14"/>
          <w:color w:val="auto"/>
        </w:rPr>
        <w:t>Our certificate of incorporation provides that the Court of Chancery of the State of Delaware will be the exclusive forum for substantially all disputes between the Company and our stockholders, which could limit our stockholders’ ability to obtain a favorable judicial forum for disputes with the Company or our directors, officers, employees or stockholders.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1" w:name="page62"/>
    <w:bookmarkEnd w:id="61"/>
    <w:p>
      <w:pPr>
        <w:spacing w:after="0" w:line="238" w:lineRule="auto"/>
        <w:rPr>
          <w:sz w:val="20"/>
          <w:szCs w:val="20"/>
          <w:color w:val="auto"/>
        </w:rPr>
      </w:pPr>
      <w:r>
        <w:rPr>
          <w:rFonts w:ascii="Times New Roman" w:cs="Times New Roman" w:eastAsia="Times New Roman" w:hAnsi="Times New Roman"/>
          <w:sz w:val="14"/>
          <w:szCs w:val="14"/>
          <w:color w:val="auto"/>
        </w:rPr>
        <w:t>Our certificate of incorporation provides that the Court of Chancery of the State of Delaware is the exclusive forum for any derivative action or proceeding brought on the Company’s behalf, any action asserting a breach of fiduciary duty owed by our directors, officers, other employees or stockholders to the Company or our stockholders, any action asserting a claim against the Company arising pursuant to the Delaware General Corporation Law or as to which the Delaware General Corporation Law confers jurisdiction on the Court of Chancery of the State of Delaware, or any action asserting a claim arising pursuant to our certificate of incorporation or by-laws or governed by the internal affairs doctrine. This provision may limit a stockholder’s ability to bring a claim in a judicial forum that it finds favorable for disputes with the Company or our directors, officers, employees or stockholders, which may discourage such lawsuits against the Company and our directors, officers, employees or stockholders.</w:t>
      </w:r>
    </w:p>
    <w:p>
      <w:pPr>
        <w:spacing w:after="0" w:line="16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Alternatively, if a court were to find this provision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8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We lease approximately 28,000 square feet of office space at 61 North Beacon Street, 4th Floor, Boston, Massachusetts, which serves as our corporate headquarters. The lease expires on November 30, 2026. The base monthly payment on the lease is approximately $88.7 thousand as of December 31, 2022, subject to specified annual increases of approximately 3% during the term of the lease and not including operating expenses, certain utilities, taxes and insurance for which we are responsible. We have the right to sublease the premises, subject to landlord consent and we have the right to renew the lease for an additional five years at the then-prevailing effective market rental 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lease approximately 1,200 square meters of laboratory and office space in Vienna, Austria under a lease that will expire in March 2028, with a monthly payment of approximately $23.2 thousand.</w:t>
      </w:r>
    </w:p>
    <w:p>
      <w:pPr>
        <w:spacing w:after="0" w:line="2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time to time, we may become involved in legal proceedings arising in the ordinary course of our business. We are not currently subject to any material legal proceedings.</w:t>
      </w:r>
    </w:p>
    <w:p>
      <w:pPr>
        <w:spacing w:after="0" w:line="2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common stock commenced trading on the Nasdaq Global Market under the symbol “ASNS” on November 16, 2017. Prior to that date, there was no public trading market for our common stock. On March 13, 2019, we completed a business combination in accordance with the terms of the Merger Agreement, by and among us, X4 Therapeutics, Inc. (formerly X4 Pharmaceuticals, Inc.) and the Merger Sub, pursuant to which, among other matters, Merger Sub merged with and into X4 Therapeutics, Inc., with X4 Therapeutics, Inc. continuing as our wholly-owned subsidiary and the surviving corporation of the merger. Following the Merger, on March 14, 2019, we effected a 1-for-6 reverse stock split of our common stock and changed our name to “X4 Pharmaceuticals, Inc.” On March 13, 2019, following the completion of the Merger, our common stock began trading on the Nasdaq Capital Market under the symbol “XFOR”.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Our Common Stock</w:t>
      </w:r>
    </w:p>
    <w:p>
      <w:pPr>
        <w:spacing w:after="0" w:line="2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4"/>
          <w:szCs w:val="14"/>
          <w:color w:val="auto"/>
        </w:rPr>
        <w:t>As of March 1, 2023, there were 66 holders of record of our common stock, one of which is Cede &amp; Co., a nominee for Depository Trust Company (“DTC”). All of the shares of common stock held by brokerage firms, banks and other financial institutions as nominees for beneficial owners are deposited into participant accounts at DTC, and are considered to be held of record by Cede &amp; Co. as one stockholder.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of Equity Securities by the Issuer and Affiliated Purchasers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6" w:right="339" w:bottom="1440" w:gutter="0" w:footer="0" w:header="0"/>
        </w:sectPr>
      </w:pPr>
    </w:p>
    <w:bookmarkStart w:id="63" w:name="page64"/>
    <w:bookmarkEnd w:id="63"/>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9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consolidated financial statements and the related notes and the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these forward-looking statements.</w:t>
      </w:r>
    </w:p>
    <w:p>
      <w:pPr>
        <w:spacing w:after="0" w:line="15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For the discussion of the financial condition and results of operations for the year ended December 31, 2021 compared to the year ended December 31, 2020, refer to “Management’s Discussion and Analysis of Financial Condition and Results of Operations” to our Annual Report on Form 10-K filed with the SEC on March 17,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6"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4"/>
          <w:szCs w:val="14"/>
          <w:color w:val="auto"/>
        </w:rPr>
        <w:t>We are a late clinical-stage biopharmaceutical company discovering and developing novel therapeutics for the treatment of rare diseases and those with limited treatment options, with a focus on conditions resulting from dysfunction of the immune system.</w:t>
      </w:r>
    </w:p>
    <w:p>
      <w:pPr>
        <w:spacing w:after="0" w:line="151"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4"/>
          <w:szCs w:val="14"/>
          <w:color w:val="auto"/>
        </w:rPr>
        <w:t>Our lead clinical candidate is mavorixafor, a small molecule antagonist of chemokine receptor CXCR4 that is being developed as an oral, once-daily therapy. Due to its ability to increase the mobilization of mature, functional white blood cells from the bone marrow into the bloodstream, we believe that mavorixafor has the potential to provide therapeutic benefit across a variety of chronic neutropenic disorders, including WHIM (Warts, Hypogammaglobulinemia, Infections, and Myelokathexis) syndrome, a rare, primary immunodeficiency.</w:t>
      </w:r>
    </w:p>
    <w:p>
      <w:pPr>
        <w:spacing w:after="0" w:line="163"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Following announcement of positive top-line data from our global, pivotal, Phase 3 clinical trial, we are currently preparing a U.S. regulatory submission seeking approval of oral, once-daily mavorixafor in the treatment of people aged 12 years and older with WHIM syndrome. Submission is expected early in the second half of 2023.</w:t>
      </w:r>
    </w:p>
    <w:p>
      <w:pPr>
        <w:spacing w:after="0" w:line="135"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We are also currently advancing mavorixafor in a Phase 2 clinical trial in people with certain chronic neutropenic disorders following positive results from a Phase 1b clinical trial of mavorixafor in people with idiopathic, cyclic or congenital neutropenia. Participants are now being enrolled in this Phase 2 clinical trial and we expect to provide an update on clinical results in the second or third quarter of 2023. We also expect to provide clarity on the scope and timing of our planned Phase 3 chronic neutropenia clinical program in the second or third quarter of 2023.</w:t>
      </w:r>
    </w:p>
    <w:p>
      <w:pPr>
        <w:spacing w:after="0" w:line="147"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We believe that successfully developing mavorixafor and providing new therapeutic options to individuals in the U.S. diagnosed with certain chronic neutropenic disorders has the potential to revolutionize the treatment landscape, which is principally served by injectable therapies that are frequently associated with treatment-limiting adverse events.</w:t>
      </w:r>
    </w:p>
    <w:p>
      <w:pPr>
        <w:spacing w:after="0" w:line="146"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4"/>
          <w:szCs w:val="14"/>
          <w:color w:val="auto"/>
        </w:rPr>
        <w:t>To date, we have not generated revenue from product sales and do not expect to generate significant revenue from the sale of our products in the foreseeable future. If our development efforts for our product candidates are successful and result in regulatory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73"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4688840" cy="20142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8884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Programs only being advanced through partnership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Considerations</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Unfavorable conditions in the economy in the United States and abroad may negatively affect the growth of our business and our results of operations. For example, macroeconomic events, including the COVID-19 pandemic, rising inflation, the U.S. Federal Reserve raising interest rates and the Russia-Ukraine war,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2022 and 2021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results of our operations for the periods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8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2021</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50,647</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10,411</w:t>
            </w:r>
          </w:p>
        </w:tc>
        <w:tc>
          <w:tcPr>
            <w:tcW w:w="0" w:type="dxa"/>
            <w:vAlign w:val="bottom"/>
          </w:tcPr>
          <w:p>
            <w:pPr>
              <w:spacing w:after="0"/>
              <w:rPr>
                <w:sz w:val="1"/>
                <w:szCs w:val="1"/>
                <w:color w:val="auto"/>
              </w:rPr>
            </w:pPr>
          </w:p>
        </w:tc>
      </w:tr>
      <w:tr>
        <w:trPr>
          <w:trHeight w:val="265"/>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0" w:type="dxa"/>
            <w:vAlign w:val="bottom"/>
          </w:tcPr>
          <w:p>
            <w:pPr>
              <w:spacing w:after="0"/>
              <w:rPr>
                <w:sz w:val="1"/>
                <w:szCs w:val="1"/>
                <w:color w:val="auto"/>
              </w:rPr>
            </w:pPr>
          </w:p>
        </w:tc>
      </w:tr>
      <w:tr>
        <w:trPr>
          <w:trHeight w:val="181"/>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non-financial asset</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91"/>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goodwill</w:t>
            </w:r>
          </w:p>
        </w:tc>
        <w:tc>
          <w:tcPr>
            <w:tcW w:w="7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0" w:type="dxa"/>
            <w:vAlign w:val="bottom"/>
          </w:tcPr>
          <w:p>
            <w:pPr>
              <w:spacing w:after="0"/>
              <w:rPr>
                <w:sz w:val="1"/>
                <w:szCs w:val="1"/>
                <w:color w:val="auto"/>
              </w:rPr>
            </w:pPr>
          </w:p>
        </w:tc>
      </w:tr>
      <w:tr>
        <w:trPr>
          <w:trHeight w:val="245"/>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87,569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85,107</w:t>
            </w: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245"/>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7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(87,569)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(85,107)</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24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 net</w:t>
            </w:r>
          </w:p>
        </w:tc>
        <w:tc>
          <w:tcPr>
            <w:tcW w:w="7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(93,839)</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(88,679)</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0" w:type="dxa"/>
            <w:vAlign w:val="bottom"/>
          </w:tcPr>
          <w:p>
            <w:pPr>
              <w:spacing w:after="0"/>
              <w:rPr>
                <w:sz w:val="1"/>
                <w:szCs w:val="1"/>
                <w:color w:val="auto"/>
              </w:rPr>
            </w:pP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(93,867)</w:t>
            </w:r>
          </w:p>
        </w:tc>
        <w:tc>
          <w:tcPr>
            <w:tcW w:w="12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(88,696)</w:t>
            </w:r>
          </w:p>
        </w:tc>
        <w:tc>
          <w:tcPr>
            <w:tcW w:w="140" w:type="dxa"/>
            <w:vAlign w:val="bottom"/>
          </w:tcPr>
          <w:p>
            <w:pPr>
              <w:spacing w:after="0"/>
              <w:rPr>
                <w:sz w:val="14"/>
                <w:szCs w:val="14"/>
                <w:color w:val="auto"/>
              </w:rPr>
            </w:pPr>
          </w:p>
        </w:tc>
        <w:tc>
          <w:tcPr>
            <w:tcW w:w="2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0" w:type="dxa"/>
            <w:vAlign w:val="bottom"/>
          </w:tcPr>
          <w:p>
            <w:pPr>
              <w:spacing w:after="0"/>
              <w:rPr>
                <w:sz w:val="1"/>
                <w:szCs w:val="1"/>
                <w:color w:val="auto"/>
              </w:rPr>
            </w:pPr>
          </w:p>
        </w:tc>
      </w:tr>
      <w:tr>
        <w:trPr>
          <w:trHeight w:val="65"/>
        </w:trPr>
        <w:tc>
          <w:tcPr>
            <w:tcW w:w="682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4"/>
          <w:szCs w:val="14"/>
          <w:color w:val="auto"/>
        </w:rPr>
        <w:t>Research and development expenses consist primarily of costs incurred in connection with the discovery and development of our product candidates, including employee salaries and related expenses, expenses incurred in connection with the preclinical and clinical development of our product candidates, including under agreements with third parties, such as consultants and contract research organizations (“CROs”); the cost of manufacturing drug products for use in our preclinical studies and clinical trials, including under agreements with third parties, such as consultants and contract manufacturing organizations (“CMOs”); facilities, depreciation and other expenses, which include direct or allocated expenses for rent and maintenance of facilities and insurance; costs related to compliance with regulatory requirements; and payments made under third-party licensing agreements. We expense research and development costs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8890</wp:posOffset>
            </wp:positionV>
            <wp:extent cx="267462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4620" cy="6985"/>
                    </a:xfrm>
                    <a:prstGeom prst="rect">
                      <a:avLst/>
                    </a:prstGeom>
                    <a:noFill/>
                  </pic:spPr>
                </pic:pic>
              </a:graphicData>
            </a:graphic>
          </wp:anchor>
        </w:drawing>
      </w:r>
    </w:p>
    <w:p>
      <w:pPr>
        <w:spacing w:after="0" w:line="6"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22"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26035</wp:posOffset>
            </wp:positionV>
            <wp:extent cx="267462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74620" cy="698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Direct research and development expenses by product candidate:</w:t>
            </w:r>
          </w:p>
        </w:tc>
        <w:tc>
          <w:tcPr>
            <w:tcW w:w="8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Mavorixafor (X4P-001)</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0" w:type="dxa"/>
            <w:vAlign w:val="bottom"/>
          </w:tcPr>
          <w:p>
            <w:pPr>
              <w:spacing w:after="0"/>
              <w:rPr>
                <w:sz w:val="1"/>
                <w:szCs w:val="1"/>
                <w:color w:val="auto"/>
              </w:rPr>
            </w:pPr>
          </w:p>
        </w:tc>
      </w:tr>
      <w:tr>
        <w:trPr>
          <w:trHeight w:val="265"/>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X4P-002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shd w:val="clear" w:color="auto" w:fill="CFF0FC"/>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80" w:type="dxa"/>
            <w:vAlign w:val="bottom"/>
            <w:shd w:val="clear" w:color="auto" w:fill="CFF0FC"/>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265"/>
        </w:trPr>
        <w:tc>
          <w:tcPr>
            <w:tcW w:w="6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X4P-003</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265"/>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Unallocated expense</w:t>
            </w:r>
          </w:p>
        </w:tc>
        <w:tc>
          <w:tcPr>
            <w:tcW w:w="8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28,473</w:t>
            </w:r>
          </w:p>
        </w:tc>
        <w:tc>
          <w:tcPr>
            <w:tcW w:w="8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22,747</w:t>
            </w:r>
          </w:p>
        </w:tc>
        <w:tc>
          <w:tcPr>
            <w:tcW w:w="8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w:t>
            </w:r>
          </w:p>
        </w:tc>
        <w:tc>
          <w:tcPr>
            <w:tcW w:w="0" w:type="dxa"/>
            <w:vAlign w:val="bottom"/>
          </w:tcPr>
          <w:p>
            <w:pPr>
              <w:spacing w:after="0"/>
              <w:rPr>
                <w:sz w:val="1"/>
                <w:szCs w:val="1"/>
                <w:color w:val="auto"/>
              </w:rPr>
            </w:pPr>
          </w:p>
        </w:tc>
      </w:tr>
      <w:tr>
        <w:trPr>
          <w:trHeight w:val="16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4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61,058</w:t>
            </w: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50,647</w:t>
            </w: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10,411</w:t>
            </w:r>
          </w:p>
        </w:tc>
        <w:tc>
          <w:tcPr>
            <w:tcW w:w="0" w:type="dxa"/>
            <w:vAlign w:val="bottom"/>
          </w:tcPr>
          <w:p>
            <w:pPr>
              <w:spacing w:after="0"/>
              <w:rPr>
                <w:sz w:val="1"/>
                <w:szCs w:val="1"/>
                <w:color w:val="auto"/>
              </w:rPr>
            </w:pPr>
          </w:p>
        </w:tc>
      </w:tr>
      <w:tr>
        <w:trPr>
          <w:trHeight w:val="60"/>
        </w:trPr>
        <w:tc>
          <w:tcPr>
            <w:tcW w:w="64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Research and development expenses were $61.1 million for the year ended December 31, 2022, as compared to $50.6 million for the year ended December 31, 2021, reflecting an increase of $10.4 million. The increase in research and development expenses in 2022 as compared to 2021 was primarily due to higher clinical trial expenses and third-party manufacturing costs related to mavorixafor to support our ongoing clinical trials and increased consulting and professional services expenses related to these clinical trials. Research and development expenses also increased in 2022 due to an increase in unallocated expenses, primarily due to an increase in head count within our manufacturing, regulatory and clinical operations functions, resulting in higher compensation expenses, including stock-based compensation. In addition, unallocated research and development expense increased due to higher external regulatory compliance and information technology costs.</w:t>
      </w:r>
    </w:p>
    <w:p>
      <w:pPr>
        <w:spacing w:after="0" w:line="15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We expect that our research and development expenses, particularly for our mavorixafor programs, will increase over the next several years as we continue to conduct our clinical trials of mavorixafor in chronic neutropenic disorders. Research and development expenses related to our X4P-002 and X4P-003 programs were not significant in 2022 relative to our overall research and development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6"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and related costs, including stock-based compensation for personnel in sale and marketing, executive, finance and administrative functions. Selling, general and administrative expenses also include direct and allocated facility-related costs, as well as professional fees for legal, patent, consulting, investor and public relations, accounting, and audit services.</w:t>
      </w:r>
    </w:p>
    <w:p>
      <w:pPr>
        <w:spacing w:after="0" w:line="155"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Selling, general and administrative expenses were $27.0 million in 2022, as compared to $24.7 million in 2021, reflecting an increase of $2.3 million. The increase in selling, general and administrative expenses in 2022 as compared to 2021 was primarily due to an increase in compensation, including stock-based compensation costs, primarily resulting from severance payments incurred during 2022 and increases in salaries. We expect selling, general and administrative expenses will grow in the future as we continue to build out our selling, general and administrative functions.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Goodwill is tested quantitatively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We have determined that our company operates in a single operating segment and has a single reporting unit. To perform the quantitative test, we compare the fair value of the reporting unit to its carrying value. As we have one reporting unit, we determine its fair value based on the market approach taking into consideration the market value of the company as a whole and any control premium that might be realized upon the sale of the reporting unit. If the fair value of the reporting unit exceeds the carrying value of its net assets, goodwill is not impaired, and no further testing is required. If the fair value of the reporting unit is less than the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141"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carrying value, we measure the amount of impairment loss, if any, as the excess of the carrying value over the fair value of the reporting unit.</w:t>
      </w:r>
    </w:p>
    <w:p>
      <w:pPr>
        <w:spacing w:after="0" w:line="18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4"/>
          <w:szCs w:val="14"/>
          <w:color w:val="auto"/>
        </w:rPr>
        <w:t>As of December 31, 2022 we determined that goodwill was not impaired based on its quantitative test. As of December 31, 2021, our market capitalization, measured as the price of our common stock multiplied by shares of common stock outstanding, dropped below the value of our net assets, including goodwill. As a result of the sustained decline in the market price of our common stock, the fair value of our single reporting unit, measured based on our market capitalization as of December 31, 2021, was lower than its carrying value and we concluded that goodwill was impaired. Accordingly, we recorded an impairment charge of $9.8 million to reduce the carrying amount of goodwill to $17.4 million as of December 31, 2021. Future declines in the market value of our common stock may result in additional impairment charges being recorded.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Sale of Non-Financial Asset</w:t>
      </w:r>
    </w:p>
    <w:p>
      <w:pPr>
        <w:spacing w:after="0" w:line="1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During the year ended December 31, 2022, a third party, who had previously acquired rights to certain intellectual property from us, terminated the arrangement and transferred these rights back us and we transferred these rights to another third party in return for $0.5 million. We have no continuing involvement in any ongoing research and development activities associated with the intellectual property. We concluded that these third parties are "non-customers" as the underlying intellectual property transferred to and from these third parties supports potential drug candidates that are not aligned with our strategic focus and, therefore, are not an output of our ordinary activities. Accordingly, we classified this transaction as a “gain on sale of non-financial asset” for the year ended December 31, 2022. There was no such transaction in year ended December 31,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29845</wp:posOffset>
            </wp:positionV>
            <wp:extent cx="291719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17190" cy="698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6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6280" w:type="dxa"/>
            <w:vAlign w:val="bottom"/>
          </w:tcPr>
          <w:p>
            <w:pPr>
              <w:spacing w:after="0"/>
              <w:rPr>
                <w:sz w:val="20"/>
                <w:szCs w:val="20"/>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1"/>
        </w:trPr>
        <w:tc>
          <w:tcPr>
            <w:tcW w:w="6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6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60" w:type="dxa"/>
            <w:vAlign w:val="bottom"/>
          </w:tcPr>
          <w:p>
            <w:pPr>
              <w:spacing w:after="0"/>
              <w:rPr>
                <w:sz w:val="23"/>
                <w:szCs w:val="23"/>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23"/>
                <w:szCs w:val="23"/>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6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26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and derivative liabilities</w:t>
            </w:r>
          </w:p>
        </w:tc>
        <w:tc>
          <w:tcPr>
            <w:tcW w:w="9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r>
      <w:tr>
        <w:trPr>
          <w:trHeight w:val="18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incentive program</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8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losses, issuance costs related to warrants and other</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(4,368)</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 net</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 increase in other expense, net, of $2.7 million for the year ended December 31, 2022 as compared to 2021 was primarily due to an increase in transaction fees associated with the issuance of warrants that are accounted for as liabilities, partially offset by a decrease in the fair value of the embedded derivative liability associated with the Hercules Loan agreement, as defined below, and the net change in the fair value of warrants accounted for as liabilities, as further described in Note 10 to the consolidated financial statements included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For the years ended December 31, 2022, 2021 and 2020, we recorded an immaterial income tax provision related to our Austrian subsidiary. In addition, in 2020 we recorded tax expense related to a withholding tax related to a milestone payment received from a foreign jurisdiction. We do not expect to record a significant income tax benefit or expense for several years as we have significant net operating loss carryforwards that are fully reserved until such time as we begin to generate meaningful taxable income in our U.S. jurisdiction. We expect this will occur when and if we are able to commercialize our drug products in the future.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25" w:lineRule="exact"/>
        <w:rPr>
          <w:sz w:val="20"/>
          <w:szCs w:val="20"/>
          <w:color w:val="auto"/>
        </w:rPr>
      </w:pPr>
    </w:p>
    <w:p>
      <w:pPr>
        <w:ind w:right="4080"/>
        <w:spacing w:after="0" w:line="259" w:lineRule="auto"/>
        <w:rPr>
          <w:sz w:val="20"/>
          <w:szCs w:val="20"/>
          <w:color w:val="auto"/>
        </w:rPr>
      </w:pPr>
      <w:r>
        <w:rPr>
          <w:rFonts w:ascii="Times New Roman" w:cs="Times New Roman" w:eastAsia="Times New Roman" w:hAnsi="Times New Roman"/>
          <w:sz w:val="14"/>
          <w:szCs w:val="14"/>
          <w:color w:val="auto"/>
        </w:rPr>
        <w:t>To date, we have funded our operations primarily with proceeds from sales of common stock, warrants and prefunded warrants for the purchase of our preferred stock and our common stock, sales of preferred stock, proceeds from the issuance of convertible debt and borrowings under loan and security agreements.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67" w:name="page68"/>
    <w:bookmarkEnd w:id="67"/>
    <w:p>
      <w:pPr>
        <w:ind w:right="100"/>
        <w:spacing w:after="0" w:line="238" w:lineRule="auto"/>
        <w:rPr>
          <w:sz w:val="20"/>
          <w:szCs w:val="20"/>
          <w:color w:val="auto"/>
        </w:rPr>
      </w:pPr>
      <w:r>
        <w:rPr>
          <w:rFonts w:ascii="Times New Roman" w:cs="Times New Roman" w:eastAsia="Times New Roman" w:hAnsi="Times New Roman"/>
          <w:sz w:val="14"/>
          <w:szCs w:val="14"/>
          <w:i w:val="1"/>
          <w:iCs w:val="1"/>
          <w:color w:val="auto"/>
        </w:rPr>
        <w:t xml:space="preserve">ATM Sales Agreement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entered into a Controlled Equity Offering</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Agreement (“ATM Sales Agreement”), with B. Riley Securities, Inc., Cantor Fitzgerald &amp; Co., and Stifel,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Nicolaus &amp; Company, Incorporated (collectively the “Sales Agents”), pursuant to which we may offer and sell, at our sole discretion through one or more of the Sales Agents, shares of our common stock having an aggregate offering price of up to $50 million. To date, we have sold approximately $14.3 million of our common stock, net of offering costs, under the ATM Sales Agreement.</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LPC Agreement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January 2022, we entered into an agreement, (the “LPC Agreement”) with Lincoln Park Capital Fund LLC (“Lincoln Park”), pursuant to which we have the right to sell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Lincoln Park shares of our common stock, having an aggregate value of up to $50.0 million, subject to certain limitations and conditions, at our request during a 36-month period. The shares of common stock that we may sell under the LPC Agreement are capped at 5.6 million, which amount may be adjusted under certain conditions as defined in the LPC Agreement. In January 2022, we raised $3.0 million from the sale of shares of our common stock through the LPC Agreement.</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Public and Private Equity Offerings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Over the past several years we have funded our operations primarily from sales of common stock, warrants and prefunded warrants through both 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offerings and private placements. In March 2021, we sold shares of common stock, redeemable common stock, and, in lieu of common stock, pre-funded warrants to purchase shares of common stock in a private placement for gross proceeds of $55.0 million, before offering expenses and $2 million paid for the subsequent settlement of redeemable common stock in August 2021. In November 2021, we raised approximately $10.0 million through the sale of pre-funded warrants to an investor in a private placement. In March 2022, we sold shares of common stock and, in lieu of common stock, pre-funded warrants to purchase shares of common stock in a private placement for gross proceeds of $3.0 million, before offering expenses. In June 2022, we sold shares of common stock and, in lieu of common stock, pre-funded warrants to purchase shares of common stock in a private placement for gross proceeds of $55.7 million, before offering expenses. In December 2022, we sold shares of common stock and, in lieu of common stock, pre-funded warrants to purchase shares of common stock in a public offering for gross proceeds of $65.1 million, before offering expenses.</w:t>
      </w:r>
    </w:p>
    <w:p>
      <w:pPr>
        <w:spacing w:after="0" w:line="33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Hercules Loan Agreement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January 2023, we entered into a Second Amended and Restated Loan and Security Agreement (the “Hercules Loan Agreement”) with Hercules Capital, Inc., as agent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lender, and Hercules Capital Funding IV LLC and Hercules Capital Funding Trust 2022-1, as lenders (collectively, “Hercules”), which agreement amended and restated the Amended and Restated Loan and Security Agreement dated as of June 27, 2019, as subsequently amended from time to time (the “Previous Loan Agreement”). The Hercules Loan Agreement provides for a term loan of $32.5 million and an interest-only payment period through October 1, 2024, provided however, if certain conditions are met, then the interest-only payment period will be extended to January 1, 2026. To date, we have borrowed the full $32.5 million under the Hercules Loan Agreement, and such amount remains outstanding as of December 31, 2022.</w:t>
      </w:r>
    </w:p>
    <w:p>
      <w:pPr>
        <w:spacing w:after="0" w:line="1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Going Concern— </w:t>
      </w:r>
      <w:r>
        <w:rPr>
          <w:rFonts w:ascii="Times New Roman" w:cs="Times New Roman" w:eastAsia="Times New Roman" w:hAnsi="Times New Roman"/>
          <w:sz w:val="14"/>
          <w:szCs w:val="14"/>
          <w:color w:val="auto"/>
        </w:rPr>
        <w:t>Since our inception, we have incurred significant operating losses and negative cash flows from our operations. We have not yet commercialized any products and we do not expect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generate revenue from sales of any products for several years, if at all. As of December 31, 2022, our cash and cash equivalents were $121.7 million and our restricted cash balance was $1.3 million. We have a covenant under our Hercules Loan Agreement that currently requires that we maintain a minimum level of cash of $20.0 million, subject to reduction to $10 million upon the achievement of operational milestones. Based on our current financial projections and with no additional funding, we believe we will not be able to maintain the minimum cash required to satisfy this covenant beginning in the first quarter of 2024. In such event, the lenders could require the repayment of all outstanding debt.</w:t>
      </w:r>
    </w:p>
    <w:p>
      <w:pPr>
        <w:spacing w:after="0" w:line="1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Management has concluded that substantial doubt exists about our ability to continue as a going concern for the one-year period following the issuance of our consolidated financial statements for the year ended December 31, 2022. To finance our operations, we will need to raise additional capital, which cannot be assured. Unless and until we reach profitability in the future, we will require additional capital to fund our operations, which could be raised through a combination of equity offerings, debt financings, other third-party funding, marketing and distribution arrangements and other collaborations and strategic alliances. If we are unable to obtain funding, we could be forced to delay, reduce or eliminate some or all of our research and development programs, product portfolio expansion or commercialization efforts, which would adversely affect our business prospects, or we may be unable to continue operations</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 activities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4581525" cy="16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8152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23" w:lineRule="exact"/>
        <w:rPr>
          <w:sz w:val="20"/>
          <w:szCs w:val="20"/>
          <w:color w:val="auto"/>
        </w:rPr>
      </w:pPr>
    </w:p>
    <w:p>
      <w:pPr>
        <w:ind w:left="20" w:right="2400"/>
        <w:spacing w:after="0" w:line="268" w:lineRule="auto"/>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4581525"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81525" cy="11430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81525" cy="12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81525" cy="121285"/>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Impact of foreign exchange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81525" cy="12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81525" cy="121285"/>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6764020" cy="121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64020" cy="1212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1831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831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21831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1"/>
        </w:trPr>
        <w:tc>
          <w:tcPr>
            <w:tcW w:w="400" w:type="dxa"/>
            <w:vAlign w:val="bottom"/>
          </w:tcPr>
          <w:p>
            <w:pPr>
              <w:spacing w:after="0"/>
              <w:rPr>
                <w:sz w:val="14"/>
                <w:szCs w:val="14"/>
                <w:color w:val="auto"/>
              </w:rPr>
            </w:pPr>
          </w:p>
        </w:tc>
        <w:tc>
          <w:tcPr>
            <w:tcW w:w="1880" w:type="dxa"/>
            <w:vAlign w:val="bottom"/>
            <w:gridSpan w:val="3"/>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60" w:type="dxa"/>
            <w:vAlign w:val="bottom"/>
          </w:tcPr>
          <w:p>
            <w:pPr>
              <w:spacing w:after="0"/>
              <w:rPr>
                <w:sz w:val="14"/>
                <w:szCs w:val="14"/>
                <w:color w:val="auto"/>
              </w:rPr>
            </w:pPr>
          </w:p>
        </w:tc>
      </w:tr>
      <w:tr>
        <w:trPr>
          <w:trHeight w:val="275"/>
        </w:trPr>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(93,867)</w:t>
            </w:r>
          </w:p>
        </w:tc>
        <w:tc>
          <w:tcPr>
            <w:tcW w:w="80" w:type="dxa"/>
            <w:vAlign w:val="bottom"/>
            <w:shd w:val="clear" w:color="auto" w:fill="CFF0FC"/>
          </w:tcPr>
          <w:p>
            <w:pPr>
              <w:spacing w:after="0"/>
              <w:rPr>
                <w:sz w:val="23"/>
                <w:szCs w:val="23"/>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(88,696)</w:t>
            </w:r>
          </w:p>
        </w:tc>
      </w:tr>
      <w:tr>
        <w:trPr>
          <w:trHeight w:val="178"/>
        </w:trPr>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19,289</w:t>
            </w:r>
          </w:p>
        </w:tc>
      </w:tr>
      <w:tr>
        <w:trPr>
          <w:trHeight w:val="180"/>
        </w:trPr>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r>
      <w:tr>
        <w:trPr>
          <w:trHeight w:val="171"/>
        </w:trPr>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(70,905)</w:t>
            </w:r>
          </w:p>
        </w:tc>
      </w:tr>
      <w:tr>
        <w:trPr>
          <w:trHeight w:val="193"/>
        </w:trPr>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r>
      <w:tr>
        <w:trPr>
          <w:trHeight w:val="189"/>
        </w:trPr>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117,230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74,245</w:t>
            </w:r>
          </w:p>
        </w:tc>
      </w:tr>
      <w:tr>
        <w:trPr>
          <w:trHeight w:val="191"/>
        </w:trPr>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r>
      <w:tr>
        <w:trPr>
          <w:trHeight w:val="243"/>
        </w:trPr>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w:t>
            </w:r>
          </w:p>
        </w:tc>
      </w:tr>
      <w:tr>
        <w:trPr>
          <w:trHeight w:val="193"/>
        </w:trPr>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83,108</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80,702</w:t>
            </w:r>
          </w:p>
        </w:tc>
      </w:tr>
      <w:tr>
        <w:trPr>
          <w:trHeight w:val="224"/>
        </w:trPr>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123,028</w:t>
            </w:r>
          </w:p>
        </w:tc>
        <w:tc>
          <w:tcPr>
            <w:tcW w:w="600" w:type="dxa"/>
            <w:vAlign w:val="bottom"/>
            <w:gridSpan w:val="2"/>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83,108</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00" w:space="720"/>
            <w:col w:w="4040"/>
          </w:cols>
          <w:pgMar w:left="300" w:top="1311" w:right="339" w:bottom="1440" w:gutter="0" w:footer="0" w:header="0"/>
        </w:sectPr>
      </w:pPr>
    </w:p>
    <w:p>
      <w:pPr>
        <w:spacing w:after="0" w:line="21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Operating Activities: </w:t>
      </w:r>
      <w:r>
        <w:rPr>
          <w:rFonts w:ascii="Times New Roman" w:cs="Times New Roman" w:eastAsia="Times New Roman" w:hAnsi="Times New Roman"/>
          <w:sz w:val="14"/>
          <w:szCs w:val="14"/>
          <w:color w:val="auto"/>
        </w:rPr>
        <w:t>During the year ended December 31, 2022, net cash used in operating activities was $77.1 million, primarily resulting from our net losses of $93.9 million, adjusted for noncash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expenses of $11.0 million and changes in our operating assets and liabilities of $5.7 million. Noncash expenses primarily includes stock-based compensation expense of $5.2 million. The change in operating assets and liabilities was primarily due to an increase in accounts payable and accrued expenses due to the timing of payments related to our CROs. Cash used in operating activities was higher for the year ended December 31, 2022 as compared to the prior year primarily due to higher net losses in the current year.</w:t>
      </w:r>
    </w:p>
    <w:p>
      <w:pPr>
        <w:spacing w:after="0" w:line="138"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Investing Activities: </w:t>
      </w:r>
      <w:r>
        <w:rPr>
          <w:rFonts w:ascii="Times New Roman" w:cs="Times New Roman" w:eastAsia="Times New Roman" w:hAnsi="Times New Roman"/>
          <w:sz w:val="14"/>
          <w:szCs w:val="14"/>
          <w:color w:val="auto"/>
        </w:rPr>
        <w:t>During the years ended December 31, 2022 and 2021, cash used in investing activities of $0.1 million, and $0.6 million, respectively, primarily related to furniture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laboratory equipment purchases related to our research and development center in Vienna, Austria.</w:t>
      </w:r>
    </w:p>
    <w:p>
      <w:pPr>
        <w:spacing w:after="0" w:line="12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Financing Activities: </w:t>
      </w:r>
      <w:r>
        <w:rPr>
          <w:rFonts w:ascii="Times New Roman" w:cs="Times New Roman" w:eastAsia="Times New Roman" w:hAnsi="Times New Roman"/>
          <w:sz w:val="14"/>
          <w:szCs w:val="14"/>
          <w:color w:val="auto"/>
        </w:rPr>
        <w:t>During the year ended December 31, 2022, net cash provided by financing activities was $117.2 million, consisting primarily of net proceeds from two private placements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public offering of our common stock, warrants, and pre-funded warrants. During the year ended December 31, 2021, net cash provided by financing activities was $74.2 million, consisting primarily of proceeds from the sale of our common stock and pre-funded warrants in a private placement.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Capital Requirements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 Amended and Restated Loan and Security Agreement with Hercules</w:t>
      </w:r>
    </w:p>
    <w:p>
      <w:pPr>
        <w:spacing w:after="0" w:line="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4"/>
          <w:szCs w:val="14"/>
          <w:color w:val="auto"/>
        </w:rPr>
        <w:t xml:space="preserve">In October 2018, we entered into a Loan and Security Agreement, as subsequently amended from time to time, with Hercules. On January 6, 2023, we entered into the Hercules Loan Agreement, which amended and restated the previous loan and security agreement. Under the Hercules Loan Agreement, we have borrowed the maximum aggregate principal of $32.5 million of the term loan. Borrowings under the Hercules Loan Agreement accrue interest at a variable rate equal to the greater of (i) 10.15%, or (ii)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prime rate plus 3.15%. In an event of default, and until such event is no longer continuing, the interest rate applicable to borrowings would be increased by 4.0%.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Borrowings under the Hercules Loan Agreement are repayable in monthly interest-only payments through September 2024, and in equal monthly payments of principal and accrued interest from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 2024 until the maturity date of the loan on April 1, 2026. After the interest only-period, assuming no prepayments are made, principal payments of $5.07 million will be due in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$21.6 million in 2025 and $5.8 million in 2026. If certain conditions are met and we achieve certain operational and financial milestones, the maturity date will be extended to July 1, 2027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interest-only period will be extended to January 1, 2026. At our option, we may prepay all, but not less than all, of the outstanding borrowings, subject to a prepayment premium when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repayment is made. In connection with entering into the Hercules Loan Agreement on January 6, 2023, we settled $1.3 million of end-of-term payment associated with the Previous Loan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we are required to pay end-of-term payments of</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$0.8 million and $1.3 million on July 1, 2023 and April 1, 2026, respectively.</w:t>
      </w:r>
    </w:p>
    <w:p>
      <w:pPr>
        <w:spacing w:after="0" w:line="2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Borrowings under the Hercules Loan Agreement are secured by substantially all of our personal property and other assets except for our intellectual property (but including rights to payment an proceeds from the sale, licensing or disposition of the intellectual property). Our obligations under the agreement are subject to acceleration upon occurrence of specified events of default, including payment default, insolvency and a material adverse change in our business, operations or financial or other conditions. The Hercules Loan Agreement restricts our ability to incur additional indebtedness, pay dividends, encumber intellectual property, or engage in certain fundamental business transactions, such as mergers or acquisitions of other businesses, with certain exceptions.</w:t>
      </w:r>
    </w:p>
    <w:p>
      <w:pPr>
        <w:spacing w:after="0" w:line="14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Under the Hercules Loan Agreement, we have agreed to affirmative and negative covenants. The covenants include a requirement that we maintain cash in an account or accounts in which Hercules has a first priority security interest, in an aggregate amount greater than $20.0 million. Upon the FDA approval of the sale and marketing of mavorixafor for the treatment to patients with WHIM syndrome with a label claim that is generally consistent with that sought in our NDA filing, the required level shall be reduced to $10.0 million. A breach of any of the covenants under the Hercules Loan Agreement could result in a default under the loan. Upon the occurrence of an event of default under the loan facility with Hercules,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them to secure such indebtedness.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Obligations</w:t>
      </w:r>
    </w:p>
    <w:p>
      <w:pPr>
        <w:spacing w:after="0" w:line="16"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4"/>
          <w:szCs w:val="14"/>
          <w:color w:val="auto"/>
        </w:rPr>
        <w:t>We have long-term lease obligations for office and laboratory space. Non-cancellable lease obligations are $1.61 million in 2023, $1.37 million in 2024, $1.40 million in 2025, and $1.66 million thereafter.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believe that our cash and cash equivalents will allow us to fund operations into the second quarter of 2024. However, as noted above, based on our current financial projections we believe we would be in violation of a minimum cash covenant of the Hercules Loan Agreement with Hercules in the first quarter of 2024. In order to fund operations and satisfy the minimum cash covenant in the Hercules Loan Agreement, we will be required to raise additional capital, which may be through a combination of equity offerings, debt financings, other third-party funding, marketing and distribution arrangements and other collaborations and strategic alliances. During 2023 and beyond, assuming no changes to our current operational expectations, we expect our expenses to continue to increase in connection with our ongoing activities, particularly as we advance the current and anticipated clinical trials of our product candidates in development. Because of the numerous risks and uncertainties associated with research, development and commercialization of pharmaceutical product candidates, we are unable to estimate the exact amount of our funding requirements. Our short term and long term funding requirements will depend on and could increase significantly as a result of many factors, including:</w:t>
      </w:r>
    </w:p>
    <w:p>
      <w:pPr>
        <w:spacing w:after="0" w:line="62" w:lineRule="exact"/>
        <w:rPr>
          <w:sz w:val="20"/>
          <w:szCs w:val="20"/>
          <w:color w:val="auto"/>
        </w:rPr>
      </w:pPr>
    </w:p>
    <w:p>
      <w:pPr>
        <w:ind w:left="1280" w:right="80" w:hanging="257"/>
        <w:spacing w:after="0" w:line="287" w:lineRule="auto"/>
        <w:tabs>
          <w:tab w:leader="none" w:pos="127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number, initiation, progress, timing, costs, design, duration, any potential delays, and results of clinical trials and nonclinical studies for our current or future product candidates, particularly our Phase 2 clinical trial of mavorixafor for the treatment of patients with chronic neutropenic disorders;</w:t>
      </w:r>
    </w:p>
    <w:p>
      <w:pPr>
        <w:spacing w:after="0" w:line="39" w:lineRule="exact"/>
        <w:rPr>
          <w:rFonts w:ascii="Times New Roman" w:cs="Times New Roman" w:eastAsia="Times New Roman" w:hAnsi="Times New Roman"/>
          <w:sz w:val="14"/>
          <w:szCs w:val="14"/>
          <w:color w:val="auto"/>
        </w:rPr>
      </w:pPr>
    </w:p>
    <w:p>
      <w:pPr>
        <w:ind w:left="1280" w:right="140" w:hanging="257"/>
        <w:spacing w:after="0" w:line="270" w:lineRule="auto"/>
        <w:tabs>
          <w:tab w:leader="none" w:pos="127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regulatory reviews, approvals or other actions to meet regulatory requirements established by the FDA and comparable foreign regulatory authorities, including the potential for the FDA or comparable foreign regulatory authorities to require that we perform more studies for our product candidates than those that we currently expect;</w:t>
      </w:r>
    </w:p>
    <w:p>
      <w:pPr>
        <w:spacing w:after="0" w:line="50"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marketing approval for our product candidates;</w:t>
      </w:r>
    </w:p>
    <w:p>
      <w:pPr>
        <w:spacing w:after="0" w:line="93" w:lineRule="exact"/>
        <w:rPr>
          <w:rFonts w:ascii="Times New Roman" w:cs="Times New Roman" w:eastAsia="Times New Roman" w:hAnsi="Times New Roman"/>
          <w:sz w:val="14"/>
          <w:szCs w:val="14"/>
          <w:color w:val="auto"/>
        </w:rPr>
      </w:pPr>
    </w:p>
    <w:p>
      <w:pPr>
        <w:ind w:left="1280" w:hanging="257"/>
        <w:spacing w:after="0" w:line="287" w:lineRule="auto"/>
        <w:tabs>
          <w:tab w:leader="none" w:pos="127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 covering our product candidates, including any such patent claims and intellectual property rights that we have licensed from Genzyme pursuant to the terms of our license agreement with Genzyme;</w:t>
      </w:r>
    </w:p>
    <w:p>
      <w:pPr>
        <w:spacing w:after="0" w:line="39" w:lineRule="exact"/>
        <w:rPr>
          <w:rFonts w:ascii="Times New Roman" w:cs="Times New Roman" w:eastAsia="Times New Roman" w:hAnsi="Times New Roman"/>
          <w:sz w:val="14"/>
          <w:szCs w:val="14"/>
          <w:color w:val="auto"/>
        </w:rPr>
      </w:pPr>
    </w:p>
    <w:p>
      <w:pPr>
        <w:ind w:left="1280" w:right="460" w:hanging="257"/>
        <w:spacing w:after="0" w:line="287" w:lineRule="auto"/>
        <w:tabs>
          <w:tab w:leader="none" w:pos="127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cost of defending intellectual property disputes, including patent infringement actions brought by third parties against us or our product candidates;</w:t>
      </w:r>
    </w:p>
    <w:p>
      <w:pPr>
        <w:spacing w:after="0" w:line="39"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completion of commercial-scale manufacturing activities with respect to our product candidates;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0" w:name="page71"/>
    <w:bookmarkEnd w:id="70"/>
    <w:p>
      <w:pPr>
        <w:ind w:left="1280" w:right="800" w:hanging="257"/>
        <w:spacing w:after="0" w:line="287" w:lineRule="auto"/>
        <w:tabs>
          <w:tab w:leader="none" w:pos="127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spacing w:after="0" w:line="39" w:lineRule="exact"/>
        <w:rPr>
          <w:rFonts w:ascii="Times New Roman" w:cs="Times New Roman" w:eastAsia="Times New Roman" w:hAnsi="Times New Roman"/>
          <w:sz w:val="14"/>
          <w:szCs w:val="14"/>
          <w:color w:val="auto"/>
        </w:rPr>
      </w:pPr>
    </w:p>
    <w:p>
      <w:pPr>
        <w:ind w:left="1280" w:right="140" w:hanging="257"/>
        <w:spacing w:after="0" w:line="287" w:lineRule="auto"/>
        <w:tabs>
          <w:tab w:leader="none" w:pos="127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 candidates for which we may receive regulatory approval in regions where we choose to commercialize our products on our own;</w:t>
      </w:r>
    </w:p>
    <w:p>
      <w:pPr>
        <w:spacing w:after="0" w:line="39"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any other business, product or technology that we acquire or in which we invest;</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hire additional management and scientific and medical personnel;</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product candidates, to the extent any are approved for commercial sale;</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to operate as a public company</w:t>
      </w:r>
    </w:p>
    <w:p>
      <w:pPr>
        <w:spacing w:after="0" w:line="27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We have effective universal shelf registration statements on Form S-3 registering the sale of our common stock, warrants to purchase our common stock and other securities on terms that we may determine. We have an ATM Sales Agreement with the Sales Agents, pursuant to which we have offered to sell and continue to offer to sell, at our sole discretion through one or more of the Sales Agents, shares of our common stock. We have entered into a common stock purchase agreement with Lincoln Park Capital, pursuant to which Lincoln Park Capital has committed to purchase, at our request from time to time over a 36-month period, shares of our common stock having an aggregate offering price of up to $50.0 million, of which $3.0 million have been sold to date, subject to certain limitations.</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To the extent that we raise additional capital through future equity offerings or debt financings, the ownership interest of our stockholders may be materially diluted, and the terms of such securities could include liquidation or other preferences that adversely affect the rights of our stockholders. Debt financing and preferred equity financing, if available, may involve agreements that include restrictive covenants that limit our ability to take specified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efforts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Note 2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28" w:right="379" w:bottom="1440" w:gutter="0" w:footer="0" w:header="0"/>
        </w:sectPr>
      </w:pPr>
    </w:p>
    <w:bookmarkStart w:id="71" w:name="page72"/>
    <w:bookmarkEnd w:id="71"/>
    <w:p>
      <w:pPr>
        <w:ind w:right="28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Accrued Research and Development Expenses. </w:t>
      </w:r>
      <w:r>
        <w:rPr>
          <w:rFonts w:ascii="Times New Roman" w:cs="Times New Roman" w:eastAsia="Times New Roman" w:hAnsi="Times New Roman"/>
          <w:sz w:val="14"/>
          <w:szCs w:val="14"/>
          <w:color w:val="auto"/>
        </w:rPr>
        <w:t>As part of the process of preparing our consolidated financial statements, we are required to estimate our accrued research and development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them at that time. For our significant vendors, we confirm the accuracy of these estimates with the service providers and make adjustments, if necessary. Examples of estimated accrued research and development expenses include fees paid to:</w:t>
      </w:r>
    </w:p>
    <w:p>
      <w:pPr>
        <w:spacing w:after="0" w:line="59" w:lineRule="exact"/>
        <w:rPr>
          <w:sz w:val="20"/>
          <w:szCs w:val="20"/>
          <w:color w:val="auto"/>
        </w:rPr>
      </w:pPr>
    </w:p>
    <w:p>
      <w:pPr>
        <w:ind w:left="1280" w:hanging="257"/>
        <w:spacing w:after="0"/>
        <w:tabs>
          <w:tab w:leader="none" w:pos="12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vendors in connection with preclinical development activities;</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CROs and investigative sites in connection with preclinical studies and clinical trials; and</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CMOs in connection with the production of preclinical and clinical trial materials.</w:t>
      </w:r>
    </w:p>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We base the expense recorded related to external research and development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w:t>
      </w:r>
    </w:p>
    <w:p>
      <w:pPr>
        <w:spacing w:after="0" w:line="14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Stock-Based Compensation. </w:t>
      </w:r>
      <w:r>
        <w:rPr>
          <w:rFonts w:ascii="Times New Roman" w:cs="Times New Roman" w:eastAsia="Times New Roman" w:hAnsi="Times New Roman"/>
          <w:sz w:val="14"/>
          <w:szCs w:val="14"/>
          <w:color w:val="auto"/>
        </w:rPr>
        <w:t>We measure all stock-based awards granted to employees, directors and consultants based on the grant-date fair value of the award and recognized compensation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expense, net of estimated forfeitures, over the requisite service period, which is generally the vesting period of the respective award. The stock-based awards that we have issued to date include a service-based vesting condition and the expense for these awards is recognized using the straight-line method. We have also issued stock-based awards with performance-based vesting conditions that vest in part upon our achievement of operational milestones and over time thereafter for the subsequent two years as the employee continues to provide services. We assess the probability of achievement of these operational milestones and recognize stock-based compensation for these awards using the accelerated attribution model based on the fair value of the awards as of the date of grant and our best estimate of the date each operational milestone will be achieved. We update our estimates related to the probability and timing of achievement of the operational milestones each</w:t>
      </w:r>
    </w:p>
    <w:p>
      <w:pPr>
        <w:spacing w:after="0"/>
        <w:rPr>
          <w:sz w:val="20"/>
          <w:szCs w:val="20"/>
          <w:color w:val="auto"/>
        </w:rPr>
      </w:pPr>
      <w:r>
        <w:rPr>
          <w:rFonts w:ascii="Times New Roman" w:cs="Times New Roman" w:eastAsia="Times New Roman" w:hAnsi="Times New Roman"/>
          <w:sz w:val="14"/>
          <w:szCs w:val="14"/>
          <w:color w:val="auto"/>
        </w:rPr>
        <w:t>period until the award either vests or is forfeited</w:t>
      </w:r>
      <w:r>
        <w:rPr>
          <w:rFonts w:ascii="Arial" w:cs="Arial" w:eastAsia="Arial" w:hAnsi="Arial"/>
          <w:sz w:val="16"/>
          <w:szCs w:val="16"/>
          <w:color w:val="auto"/>
        </w:rPr>
        <w:t>.</w:t>
      </w:r>
    </w:p>
    <w:p>
      <w:pPr>
        <w:spacing w:after="0" w:line="17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fair value of stock option grants is estimated on the date of grant using the Black-Scholes option-pricing model, which uses as inputs the fair value of our common stock and assumptions we make for the volatility of our common stock, the expected term of the stock options, the risk-free interest rate for a period that approximates the expected term of our stock options and an expected dividend yield. Prior to the closing of the Merger and the listing of our common stock on the Nasdaq Capital Market, our board of directors historically determined, as of the date of each option grant and with input from our management, the assistance of a third-party valuation specialist the estimated fair value of our common stock on the date of grant based on a number of objectives and subjective factors. Since the Merger and the listing of our common stock on the Nasdaq Capital Market, we have relied on the market price of our common stock to determine the fair value on the date of grant. As our common stock does not have a sufficient history of trading, we estimate our volatility based on the historical volatility of publicly traded peer companies. We estimate the expected term of our stock awards by utilizing the “simplified” method, which calculates the expected term based on weighted average midpoint of the award’s vesting and expiration dates. We determine the risk-free interest rate by reference to the U.S. Treasury yield curve in effect at the time of grant of the award for time periods approximately equal to the expected term of the award. We estimate that no dividends will be paid as we do not expect to pay cash dividends in the foreseeable future.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72" w:name="page73"/>
    <w:bookmarkEnd w:id="72"/>
    <w:p>
      <w:pPr>
        <w:ind w:right="360"/>
        <w:spacing w:after="0" w:line="287" w:lineRule="auto"/>
        <w:rPr>
          <w:sz w:val="20"/>
          <w:szCs w:val="20"/>
          <w:color w:val="auto"/>
        </w:rPr>
      </w:pPr>
      <w:r>
        <w:rPr>
          <w:rFonts w:ascii="Times New Roman" w:cs="Times New Roman" w:eastAsia="Times New Roman" w:hAnsi="Times New Roman"/>
          <w:sz w:val="14"/>
          <w:szCs w:val="14"/>
          <w:color w:val="auto"/>
        </w:rPr>
        <w:t>The assumptions underlying these valuations represent the best estimates of our management, which involve inherent uncertainties and the application of our judgment. As a result, if factors or expected outcomes change and we use significantly different assumptions or estimates, the resulting share-based compensation expense could be materially different.</w:t>
      </w:r>
    </w:p>
    <w:p>
      <w:pPr>
        <w:spacing w:after="0" w:line="15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w:t>
      </w:r>
      <w:r>
        <w:rPr>
          <w:rFonts w:ascii="Times New Roman" w:cs="Times New Roman" w:eastAsia="Times New Roman" w:hAnsi="Times New Roman"/>
          <w:sz w:val="14"/>
          <w:szCs w:val="14"/>
          <w:color w:val="auto"/>
        </w:rPr>
        <w:t>Business combinations are accounted for under the acquisition method. The total purchase price of an acquisition is allocated to the underlying identifiable net assets, based on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respective estimated fair values as of the acquisition date. Determining the fair value of assets acquired and liabilities assumed requires management’s judgment and often involves the use of significant estimates and assumptions, including assumptions with respect to future cash inflows and outflows, probabilities of success, discount rates, and asset lives, among other items. Assets acquired and liabilities assumed are recorded at their estimated fair values. The excess of the purchase price over the estimated fair values of the net assets acquired is recorded as goodwill.</w:t>
      </w:r>
    </w:p>
    <w:p>
      <w:pPr>
        <w:spacing w:after="0" w:line="16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Goodwill is tested quantitatively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5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have determined that we operate in a single operating segment and have a single reporting unit. To perform its quantitative test, we compare the fair value of our single reporting unit to the carrying value of its net assets, including goodwill. We use our market capitalization (common shares outstanding multiplied by the price per share of our common stock) to measure the fair value of the reporting unit. If the fair value of the reporting unit exceeds the carrying value of its net assets, goodwill is not impaired, and no further testing is required. If the fair value of the reporting unit is less than the carrying value, we measure the impairment loss as the excess of the carrying value over the fair value of the reporting unit. See Note 4 for more information on our goodwill impairment test as of December 31,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 Status</w:t>
      </w:r>
    </w:p>
    <w:p>
      <w:pPr>
        <w:spacing w:after="0" w:line="79"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4"/>
          <w:szCs w:val="14"/>
          <w:color w:val="auto"/>
        </w:rPr>
        <w:t>We are a smaller reporting company as defined in the Exchange Act.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description of recently issued accounting pronouncements that may potentially impact our financial position and results of operations is disclosed in Note 2 to our consolidated financial statements appearing at the end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smaller reporting company, we are not required to provide disclosure for this Item.</w:t>
      </w:r>
    </w:p>
    <w:p>
      <w:pPr>
        <w:spacing w:after="0" w:line="2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required to be filed pursuant to this Item 8 are appended to this Annual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contain a Report of Independent Registered Public Accounting Firm PricewaterhouseCoopers LLP, Boston, Massachusetts, US (Firm ID 238).</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index of those financial statements is found in Item 15 of Part IV of this Annual Report.</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3" w:right="379" w:bottom="1440" w:gutter="0" w:footer="0" w:header="0"/>
        </w:sectPr>
      </w:pPr>
    </w:p>
    <w:bookmarkStart w:id="73" w:name="page74"/>
    <w:bookmarkEnd w:id="73"/>
    <w:p>
      <w:pPr>
        <w:ind w:right="3040"/>
        <w:spacing w:after="0" w:line="416"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DISCLOSURES </w:t>
      </w:r>
      <w:r>
        <w:rPr>
          <w:rFonts w:ascii="Times New Roman" w:cs="Times New Roman" w:eastAsia="Times New Roman" w:hAnsi="Times New Roman"/>
          <w:sz w:val="14"/>
          <w:szCs w:val="14"/>
          <w:color w:val="auto"/>
        </w:rPr>
        <w:t>None.</w:t>
      </w:r>
    </w:p>
    <w:p>
      <w:pPr>
        <w:spacing w:after="0" w:line="1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9A.</w:t>
        <w:tab/>
        <w:t>CONTROLS AND PROCEDURES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Exchange Act, that are designed to ensure that information required to be disclosed in the reports we file and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spacing w:after="0" w:line="14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who serve as our principal executive officer and principal financial officer, respectively, has evaluated the effectiveness of our disclosure controls and procedures as of December 31, 2022. Based on such evaluation, our Chief Executive Officer and Chief Financial Officer have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85"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6" w:lineRule="exact"/>
        <w:rPr>
          <w:sz w:val="20"/>
          <w:szCs w:val="20"/>
          <w:color w:val="auto"/>
        </w:rPr>
      </w:pPr>
    </w:p>
    <w:p>
      <w:pPr>
        <w:ind w:left="760" w:hanging="246"/>
        <w:spacing w:after="0"/>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company;</w:t>
      </w:r>
    </w:p>
    <w:p>
      <w:pPr>
        <w:spacing w:after="0" w:line="83" w:lineRule="exact"/>
        <w:rPr>
          <w:rFonts w:ascii="Times New Roman" w:cs="Times New Roman" w:eastAsia="Times New Roman" w:hAnsi="Times New Roman"/>
          <w:sz w:val="14"/>
          <w:szCs w:val="14"/>
          <w:color w:val="auto"/>
        </w:rPr>
      </w:pPr>
    </w:p>
    <w:p>
      <w:pPr>
        <w:ind w:left="760" w:right="160" w:hanging="246"/>
        <w:spacing w:after="0" w:line="271" w:lineRule="auto"/>
        <w:tabs>
          <w:tab w:leader="none" w:pos="75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9" w:lineRule="exact"/>
        <w:rPr>
          <w:rFonts w:ascii="Times New Roman" w:cs="Times New Roman" w:eastAsia="Times New Roman" w:hAnsi="Times New Roman"/>
          <w:sz w:val="14"/>
          <w:szCs w:val="14"/>
          <w:color w:val="auto"/>
        </w:rPr>
      </w:pPr>
    </w:p>
    <w:p>
      <w:pPr>
        <w:ind w:left="760" w:right="280" w:hanging="246"/>
        <w:spacing w:after="0" w:line="271" w:lineRule="auto"/>
        <w:tabs>
          <w:tab w:leader="none" w:pos="75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4"/>
          <w:szCs w:val="14"/>
          <w:color w:val="auto"/>
        </w:rPr>
        <w:t xml:space="preserve">Management conducted an assessment of our internal controls over financial reporting based on the framework established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Based on the assessment, management concluded that, as of December 31, 2022, our internal control over financial reporting was effective.</w:t>
      </w:r>
    </w:p>
    <w:p>
      <w:pPr>
        <w:spacing w:after="0" w:line="13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of our registered public accounting firm regarding internal control over financial reporting due to an exemption provided to non-accelerated filers.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6"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4"/>
          <w:szCs w:val="14"/>
          <w:color w:val="auto"/>
        </w:rPr>
        <w:t>There have been no significant changes in our internal control over financial reporting (as defined in Rules 13a-15(f) and 15d-15(f) under the Exchange Act) during the quarter ended December 31, 2022 that has materially affected, or is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74" w:name="page75"/>
    <w:bookmarkEnd w:id="74"/>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6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information set forth in the sections titled “Proposal 1- Election of Directors,” “Information Regarding the Board of Directors and Corporate Governance” and “Executive Officers” in our 2023 Proxy Statement.</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Information regarding our Code of Business Conduct and Ethics (the “Code of Conduct”) required by this item will be contained in our 2023 Proxy Statement under the caption “Information Regarding the Board of Directors and Corporate Governance – Code of Ethics,” and is hereby incorporated by reference. If we make any substantive amendments to the Code of Conduct or grant any waiver from a provision of the Code of Conduct to any executive officer or director, we will promptly disclose the nature of the amendment or waiver on our website. The full text of our Code of Conduct is available at the Investor Relations section of our website at investors.x4pharma.com/investor-relations. The reference to our website address does not constitute incorporation by reference of the information contained at or available through our website, and you should not consider it to be a part of this Annual Report on Form 10-K.</w:t>
      </w:r>
    </w:p>
    <w:p>
      <w:pPr>
        <w:spacing w:after="0" w:line="200" w:lineRule="exact"/>
        <w:rPr>
          <w:sz w:val="20"/>
          <w:szCs w:val="20"/>
          <w:color w:val="auto"/>
        </w:rPr>
      </w:pPr>
    </w:p>
    <w:p>
      <w:pPr>
        <w:spacing w:after="0" w:line="2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information set forth in the sections titled “Executive Compensation” in our 2023 Proxy Statement.</w:t>
      </w:r>
    </w:p>
    <w:p>
      <w:pPr>
        <w:spacing w:after="0" w:line="25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9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information set forth in the section titled “Security Ownership of Certain Beneficial Owners and Management” and “Equity Compensation Plan Information” in our 2023 Proxy Statement.</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9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information set forth in the section titled “Transactions with Related Persons and Indemnification” and “Information regarding the Board of Directors and Corporate Governance” in our 2023 Proxy Statement.</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information set forth in the section titled “Principal Accountant Fees and Services” contained in our 2023 Proxy Statement.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6" w:right="339" w:bottom="1440" w:gutter="0" w:footer="0" w:header="0"/>
        </w:sectPr>
      </w:pPr>
    </w:p>
    <w:bookmarkStart w:id="75" w:name="page76"/>
    <w:bookmarkEnd w:id="75"/>
    <w:p>
      <w:pPr>
        <w:spacing w:after="0" w:line="187" w:lineRule="auto"/>
        <w:framePr w:w="220" w:h="126" w:wrap="auto" w:vAnchor="page" w:hAnchor="page" w:x="5840" w:y="9425"/>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76</w:t>
      </w:r>
    </w:p>
    <w:p>
      <w:pPr>
        <w:spacing w:after="0" w:line="180" w:lineRule="auto"/>
        <w:framePr w:w="5940" w:h="243" w:wrap="auto" w:vAnchor="page" w:hAnchor="page" w:x="1300" w:y="8343"/>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Securities Purchase Agreement, dated March 18, 2021, by and among X4 Pharmaceuticals, Inc. and the</w:t>
        </w:r>
      </w:hyperlink>
      <w:r>
        <w:rPr>
          <w:rFonts w:ascii="Times New Roman" w:cs="Times New Roman" w:eastAsia="Times New Roman" w:hAnsi="Times New Roman"/>
          <w:sz w:val="14"/>
          <w:szCs w:val="14"/>
          <w:color w:val="0000FF"/>
        </w:rPr>
        <w:t xml:space="preserve"> </w:t>
      </w:r>
      <w:hyperlink r:id="rId102">
        <w:r>
          <w:rPr>
            <w:rFonts w:ascii="Times New Roman" w:cs="Times New Roman" w:eastAsia="Times New Roman" w:hAnsi="Times New Roman"/>
            <w:sz w:val="14"/>
            <w:szCs w:val="14"/>
            <w:color w:val="0000FF"/>
          </w:rPr>
          <w:t>persons party thereto.</w:t>
        </w:r>
      </w:hyperlink>
    </w:p>
    <w:p>
      <w:pPr>
        <w:spacing w:after="0" w:line="180" w:lineRule="auto"/>
        <w:framePr w:w="320" w:h="126" w:wrap="auto" w:vAnchor="page" w:hAnchor="page" w:x="620" w:y="8618"/>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4.11</w:t>
      </w:r>
    </w:p>
    <w:p>
      <w:pPr>
        <w:spacing w:after="0" w:line="180" w:lineRule="auto"/>
        <w:framePr w:w="5940" w:h="243" w:wrap="auto" w:vAnchor="page" w:hAnchor="page" w:x="1300" w:y="8618"/>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Registration Rights Agreement, dated March 18, 2021, by and among X4 Pharmaceuticals, Inc. and the</w:t>
        </w:r>
      </w:hyperlink>
      <w:r>
        <w:rPr>
          <w:rFonts w:ascii="Times New Roman" w:cs="Times New Roman" w:eastAsia="Times New Roman" w:hAnsi="Times New Roman"/>
          <w:sz w:val="14"/>
          <w:szCs w:val="14"/>
          <w:color w:val="0000FF"/>
        </w:rPr>
        <w:t xml:space="preserve"> </w:t>
      </w:r>
      <w:hyperlink r:id="rId103">
        <w:r>
          <w:rPr>
            <w:rFonts w:ascii="Times New Roman" w:cs="Times New Roman" w:eastAsia="Times New Roman" w:hAnsi="Times New Roman"/>
            <w:sz w:val="14"/>
            <w:szCs w:val="14"/>
            <w:color w:val="0000FF"/>
          </w:rPr>
          <w:t>persons party thereto.</w:t>
        </w:r>
      </w:hyperlink>
    </w:p>
    <w:p>
      <w:pPr>
        <w:spacing w:after="0" w:line="241" w:lineRule="auto"/>
        <w:framePr w:w="1680" w:h="487" w:wrap="auto" w:vAnchor="page" w:hAnchor="page" w:x="1300" w:y="7802"/>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Form of Prefunded Warrant.</w:t>
        </w:r>
      </w:hyperlink>
      <w:r>
        <w:rPr>
          <w:rFonts w:ascii="Times New Roman" w:cs="Times New Roman" w:eastAsia="Times New Roman" w:hAnsi="Times New Roman"/>
          <w:sz w:val="14"/>
          <w:szCs w:val="14"/>
          <w:color w:val="0000FF"/>
        </w:rPr>
        <w:t xml:space="preserve"> </w:t>
      </w:r>
      <w:hyperlink r:id="rId105">
        <w:r>
          <w:rPr>
            <w:rFonts w:ascii="Times New Roman" w:cs="Times New Roman" w:eastAsia="Times New Roman" w:hAnsi="Times New Roman"/>
            <w:sz w:val="14"/>
            <w:szCs w:val="14"/>
            <w:color w:val="0000FF"/>
          </w:rPr>
          <w:t>Form of Class A Warrant</w:t>
        </w:r>
      </w:hyperlink>
      <w:r>
        <w:rPr>
          <w:rFonts w:ascii="Times New Roman" w:cs="Times New Roman" w:eastAsia="Times New Roman" w:hAnsi="Times New Roman"/>
          <w:sz w:val="14"/>
          <w:szCs w:val="14"/>
          <w:color w:val="0000FF"/>
        </w:rPr>
        <w:t xml:space="preserve"> </w:t>
      </w:r>
      <w:hyperlink r:id="rId106">
        <w:r>
          <w:rPr>
            <w:rFonts w:ascii="Times New Roman" w:cs="Times New Roman" w:eastAsia="Times New Roman" w:hAnsi="Times New Roman"/>
            <w:sz w:val="14"/>
            <w:szCs w:val="14"/>
            <w:color w:val="0000FF"/>
          </w:rPr>
          <w:t>Form of Prefunded Warrant</w:t>
        </w:r>
      </w:hyperlink>
    </w:p>
    <w:p>
      <w:pPr>
        <w:spacing w:after="0" w:line="187" w:lineRule="auto"/>
        <w:framePr w:w="260" w:h="126" w:wrap="auto" w:vAnchor="page" w:hAnchor="page" w:x="640" w:y="762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4.6</w:t>
      </w:r>
    </w:p>
    <w:p>
      <w:pPr>
        <w:spacing w:after="0" w:line="187" w:lineRule="auto"/>
        <w:framePr w:w="260" w:h="126" w:wrap="auto" w:vAnchor="page" w:hAnchor="page" w:x="640" w:y="7802"/>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4.7</w:t>
      </w:r>
    </w:p>
    <w:p>
      <w:pPr>
        <w:spacing w:after="0" w:line="187" w:lineRule="auto"/>
        <w:framePr w:w="260" w:h="126" w:wrap="auto" w:vAnchor="page" w:hAnchor="page" w:x="640" w:y="7982"/>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4.8</w:t>
      </w:r>
    </w:p>
    <w:p>
      <w:pPr>
        <w:spacing w:after="0" w:line="187" w:lineRule="auto"/>
        <w:framePr w:w="260" w:h="126" w:wrap="auto" w:vAnchor="page" w:hAnchor="page" w:x="640" w:y="8162"/>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4.9</w:t>
      </w:r>
    </w:p>
    <w:p>
      <w:pPr>
        <w:spacing w:after="0" w:line="202" w:lineRule="auto"/>
        <w:framePr w:w="320" w:h="126" w:wrap="auto" w:vAnchor="page" w:hAnchor="page" w:x="620" w:y="8343"/>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0000FF"/>
        </w:rPr>
        <w:t>4.10</w:t>
      </w:r>
    </w:p>
    <w:p>
      <w:pPr>
        <w:spacing w:after="0" w:line="187" w:lineRule="auto"/>
        <w:framePr w:w="260" w:h="126" w:wrap="auto" w:vAnchor="page" w:hAnchor="page" w:x="640" w:y="586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3.1</w:t>
      </w:r>
    </w:p>
    <w:p>
      <w:pPr>
        <w:spacing w:after="0" w:line="187" w:lineRule="auto"/>
        <w:framePr w:w="260" w:h="126" w:wrap="auto" w:vAnchor="page" w:hAnchor="page" w:x="640" w:y="604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3.2</w:t>
      </w:r>
    </w:p>
    <w:p>
      <w:pPr>
        <w:spacing w:after="0" w:line="187" w:lineRule="auto"/>
        <w:framePr w:w="260" w:h="126" w:wrap="auto" w:vAnchor="page" w:hAnchor="page" w:x="640" w:y="622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4.1</w:t>
      </w:r>
    </w:p>
    <w:p>
      <w:pPr>
        <w:spacing w:after="0" w:line="187" w:lineRule="auto"/>
        <w:framePr w:w="260" w:h="126" w:wrap="auto" w:vAnchor="page" w:hAnchor="page" w:x="640" w:y="640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4.2</w:t>
      </w:r>
    </w:p>
    <w:p>
      <w:pPr>
        <w:spacing w:after="0" w:line="187" w:lineRule="auto"/>
        <w:framePr w:w="260" w:h="126" w:wrap="auto" w:vAnchor="page" w:hAnchor="page" w:x="640" w:y="6794"/>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4.3</w:t>
      </w:r>
    </w:p>
    <w:p>
      <w:pPr>
        <w:spacing w:after="0" w:line="187" w:lineRule="auto"/>
        <w:framePr w:w="260" w:h="126" w:wrap="auto" w:vAnchor="page" w:hAnchor="page" w:x="640" w:y="7069"/>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4.4</w:t>
      </w:r>
    </w:p>
    <w:p>
      <w:pPr>
        <w:spacing w:after="0" w:line="187" w:lineRule="auto"/>
        <w:framePr w:w="260" w:h="126" w:wrap="auto" w:vAnchor="page" w:hAnchor="page" w:x="640" w:y="7345"/>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4.5</w:t>
      </w:r>
    </w:p>
    <w:p>
      <w:pPr>
        <w:spacing w:after="0" w:line="228" w:lineRule="auto"/>
        <w:framePr w:w="4340" w:h="306" w:wrap="auto" w:vAnchor="page" w:hAnchor="page" w:x="1300" w:y="586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Restated Certificate of Incorporation, as amended, as of September 1, 2022</w:t>
        </w:r>
      </w:hyperlink>
      <w:r>
        <w:rPr>
          <w:rFonts w:ascii="Times New Roman" w:cs="Times New Roman" w:eastAsia="Times New Roman" w:hAnsi="Times New Roman"/>
          <w:sz w:val="14"/>
          <w:szCs w:val="14"/>
          <w:color w:val="0000FF"/>
        </w:rPr>
        <w:t xml:space="preserve"> </w:t>
      </w:r>
      <w:hyperlink r:id="rId108">
        <w:r>
          <w:rPr>
            <w:rFonts w:ascii="Times New Roman" w:cs="Times New Roman" w:eastAsia="Times New Roman" w:hAnsi="Times New Roman"/>
            <w:sz w:val="14"/>
            <w:szCs w:val="14"/>
            <w:color w:val="0000FF"/>
          </w:rPr>
          <w:t>Amended and Restated By-laws of the Company</w:t>
        </w:r>
      </w:hyperlink>
    </w:p>
    <w:p>
      <w:pPr>
        <w:spacing w:after="0" w:line="187" w:lineRule="auto"/>
        <w:framePr w:w="2100" w:h="126" w:wrap="auto" w:vAnchor="page" w:hAnchor="page" w:x="1300" w:y="6221"/>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Form of Common Stock Certificate</w:t>
        </w:r>
      </w:hyperlink>
    </w:p>
    <w:p>
      <w:pPr>
        <w:jc w:val="both"/>
        <w:spacing w:after="0" w:line="192" w:lineRule="auto"/>
        <w:framePr w:w="5960" w:h="359" w:wrap="auto" w:vAnchor="page" w:hAnchor="page" w:x="1300" w:y="6401"/>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Form of Warrant to Purchase Common Stock of the Company (formerly Series A Preferred Stock of X4</w:t>
        </w:r>
      </w:hyperlink>
      <w:r>
        <w:rPr>
          <w:rFonts w:ascii="Times New Roman" w:cs="Times New Roman" w:eastAsia="Times New Roman" w:hAnsi="Times New Roman"/>
          <w:sz w:val="13"/>
          <w:szCs w:val="13"/>
          <w:color w:val="0000FF"/>
        </w:rPr>
        <w:t xml:space="preserve"> </w:t>
      </w:r>
      <w:hyperlink r:id="rId110">
        <w:r>
          <w:rPr>
            <w:rFonts w:ascii="Times New Roman" w:cs="Times New Roman" w:eastAsia="Times New Roman" w:hAnsi="Times New Roman"/>
            <w:sz w:val="13"/>
            <w:szCs w:val="13"/>
            <w:color w:val="0000FF"/>
          </w:rPr>
          <w:t>Therapeutics, Inc. (formerly X4 Pharmaceuticals, Inc.)) issued to Silicon Valley Bank and Life Science</w:t>
        </w:r>
      </w:hyperlink>
      <w:r>
        <w:rPr>
          <w:rFonts w:ascii="Times New Roman" w:cs="Times New Roman" w:eastAsia="Times New Roman" w:hAnsi="Times New Roman"/>
          <w:sz w:val="13"/>
          <w:szCs w:val="13"/>
          <w:color w:val="0000FF"/>
        </w:rPr>
        <w:t xml:space="preserve"> </w:t>
      </w:r>
      <w:hyperlink r:id="rId110">
        <w:r>
          <w:rPr>
            <w:rFonts w:ascii="Times New Roman" w:cs="Times New Roman" w:eastAsia="Times New Roman" w:hAnsi="Times New Roman"/>
            <w:sz w:val="13"/>
            <w:szCs w:val="13"/>
            <w:color w:val="0000FF"/>
          </w:rPr>
          <w:t>Loans, LLC.</w:t>
        </w:r>
      </w:hyperlink>
    </w:p>
    <w:p>
      <w:pPr>
        <w:spacing w:after="0" w:line="180" w:lineRule="auto"/>
        <w:framePr w:w="5960" w:h="243" w:wrap="auto" w:vAnchor="page" w:hAnchor="page" w:x="1300" w:y="6794"/>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Form of Warrant to Purchase Common Stock of the Company (formerly Series A Preferred Stock of X4</w:t>
        </w:r>
      </w:hyperlink>
      <w:r>
        <w:rPr>
          <w:rFonts w:ascii="Times New Roman" w:cs="Times New Roman" w:eastAsia="Times New Roman" w:hAnsi="Times New Roman"/>
          <w:sz w:val="14"/>
          <w:szCs w:val="14"/>
          <w:color w:val="0000FF"/>
        </w:rPr>
        <w:t xml:space="preserve"> </w:t>
      </w:r>
      <w:hyperlink r:id="rId111">
        <w:r>
          <w:rPr>
            <w:rFonts w:ascii="Times New Roman" w:cs="Times New Roman" w:eastAsia="Times New Roman" w:hAnsi="Times New Roman"/>
            <w:sz w:val="14"/>
            <w:szCs w:val="14"/>
            <w:color w:val="0000FF"/>
          </w:rPr>
          <w:t>Therapeutics, Inc. (formerly X4 Pharmaceuticals, Inc.)) issued to Maxim Partners LLC.</w:t>
        </w:r>
      </w:hyperlink>
    </w:p>
    <w:p>
      <w:pPr>
        <w:spacing w:after="0" w:line="180" w:lineRule="auto"/>
        <w:framePr w:w="5960" w:h="243" w:wrap="auto" w:vAnchor="page" w:hAnchor="page" w:x="1300" w:y="7069"/>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Form of Warrant to Purchase Common Stock of the Company (formerly Series B Preferred Stock of X4</w:t>
        </w:r>
      </w:hyperlink>
      <w:r>
        <w:rPr>
          <w:rFonts w:ascii="Times New Roman" w:cs="Times New Roman" w:eastAsia="Times New Roman" w:hAnsi="Times New Roman"/>
          <w:sz w:val="14"/>
          <w:szCs w:val="14"/>
          <w:color w:val="0000FF"/>
        </w:rPr>
        <w:t xml:space="preserve"> </w:t>
      </w:r>
      <w:hyperlink r:id="rId112">
        <w:r>
          <w:rPr>
            <w:rFonts w:ascii="Times New Roman" w:cs="Times New Roman" w:eastAsia="Times New Roman" w:hAnsi="Times New Roman"/>
            <w:sz w:val="14"/>
            <w:szCs w:val="14"/>
            <w:color w:val="0000FF"/>
          </w:rPr>
          <w:t>Therapeutics, Inc. (formerly X4 Pharmaceuticals, Inc.)).</w:t>
        </w:r>
      </w:hyperlink>
    </w:p>
    <w:p>
      <w:pPr>
        <w:spacing w:after="0" w:line="180" w:lineRule="auto"/>
        <w:framePr w:w="5960" w:h="243" w:wrap="auto" w:vAnchor="page" w:hAnchor="page" w:x="1300" w:y="7345"/>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Form of Warrant to Purchase Common Stock of the Company (formerly Series B Preferred Stock of X4</w:t>
        </w:r>
      </w:hyperlink>
      <w:r>
        <w:rPr>
          <w:rFonts w:ascii="Times New Roman" w:cs="Times New Roman" w:eastAsia="Times New Roman" w:hAnsi="Times New Roman"/>
          <w:sz w:val="14"/>
          <w:szCs w:val="14"/>
          <w:color w:val="0000FF"/>
        </w:rPr>
        <w:t xml:space="preserve"> </w:t>
      </w:r>
      <w:hyperlink r:id="rId113">
        <w:r>
          <w:rPr>
            <w:rFonts w:ascii="Times New Roman" w:cs="Times New Roman" w:eastAsia="Times New Roman" w:hAnsi="Times New Roman"/>
            <w:sz w:val="14"/>
            <w:szCs w:val="14"/>
            <w:color w:val="0000FF"/>
          </w:rPr>
          <w:t>Therapeutics, Inc. (formerly X4 Pharmaceuticals, Inc.)) issued to Hercules Capital, Inc.</w:t>
        </w:r>
      </w:hyperlink>
    </w:p>
    <w:p>
      <w:pPr>
        <w:spacing w:after="0" w:line="187" w:lineRule="auto"/>
        <w:framePr w:w="5400" w:h="126" w:wrap="auto" w:vAnchor="page" w:hAnchor="page" w:x="1300" w:y="7621"/>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Warrant Modification Agreement, dated as of December 11, 2018, with Hercules Capital, Inc.</w:t>
        </w:r>
      </w:hyperlink>
    </w:p>
    <w:p>
      <w:pPr>
        <w:spacing w:after="0" w:line="191" w:lineRule="auto"/>
        <w:framePr w:w="640" w:h="101" w:wrap="auto" w:vAnchor="page" w:hAnchor="page" w:x="460" w:y="5705"/>
        <w:rPr>
          <w:rFonts w:ascii="Times New Roman" w:cs="Times New Roman" w:eastAsia="Times New Roman" w:hAnsi="Times New Roman"/>
          <w:sz w:val="11"/>
          <w:szCs w:val="11"/>
          <w:b w:val="1"/>
          <w:bCs w:val="1"/>
          <w:color w:val="0000FF"/>
        </w:rPr>
      </w:pPr>
      <w:r>
        <w:rPr>
          <w:rFonts w:ascii="Times New Roman" w:cs="Times New Roman" w:eastAsia="Times New Roman" w:hAnsi="Times New Roman"/>
          <w:sz w:val="11"/>
          <w:szCs w:val="11"/>
          <w:b w:val="1"/>
          <w:bCs w:val="1"/>
          <w:color w:val="0000FF"/>
        </w:rPr>
        <w:t>Exhibit No.</w:t>
      </w:r>
    </w:p>
    <w:p>
      <w:pPr>
        <w:spacing w:after="0" w:line="191" w:lineRule="auto"/>
        <w:framePr w:w="1020" w:h="101" w:wrap="auto" w:vAnchor="page" w:hAnchor="page" w:x="3860" w:y="5694"/>
        <w:rPr>
          <w:rFonts w:ascii="Times New Roman" w:cs="Times New Roman" w:eastAsia="Times New Roman" w:hAnsi="Times New Roman"/>
          <w:sz w:val="11"/>
          <w:szCs w:val="11"/>
          <w:b w:val="1"/>
          <w:bCs w:val="1"/>
          <w:color w:val="0000FF"/>
        </w:rPr>
      </w:pPr>
      <w:r>
        <w:rPr>
          <w:rFonts w:ascii="Times New Roman" w:cs="Times New Roman" w:eastAsia="Times New Roman" w:hAnsi="Times New Roman"/>
          <w:sz w:val="11"/>
          <w:szCs w:val="11"/>
          <w:b w:val="1"/>
          <w:bCs w:val="1"/>
          <w:color w:val="0000FF"/>
        </w:rPr>
        <w:t>Exhibit Description</w:t>
      </w:r>
    </w:p>
    <w:p>
      <w:pPr>
        <w:spacing w:after="0" w:line="187" w:lineRule="auto"/>
        <w:framePr w:w="2180" w:h="126" w:wrap="auto" w:vAnchor="page" w:hAnchor="page" w:x="260" w:y="4491"/>
        <w:rPr>
          <w:rFonts w:ascii="Times New Roman" w:cs="Times New Roman" w:eastAsia="Times New Roman" w:hAnsi="Times New Roman"/>
          <w:sz w:val="14"/>
          <w:szCs w:val="14"/>
          <w:b w:val="1"/>
          <w:bCs w:val="1"/>
          <w:color w:val="0000FF"/>
        </w:rPr>
      </w:pPr>
      <w:r>
        <w:rPr>
          <w:rFonts w:ascii="Times New Roman" w:cs="Times New Roman" w:eastAsia="Times New Roman" w:hAnsi="Times New Roman"/>
          <w:sz w:val="14"/>
          <w:szCs w:val="14"/>
          <w:b w:val="1"/>
          <w:bCs w:val="1"/>
          <w:color w:val="0000FF"/>
        </w:rPr>
        <w:t>(2) Financial Statement Schedules:</w:t>
      </w:r>
    </w:p>
    <w:p>
      <w:pPr>
        <w:spacing w:after="0" w:line="187" w:lineRule="auto"/>
        <w:framePr w:w="11120" w:h="126" w:wrap="auto" w:vAnchor="page" w:hAnchor="page" w:x="260" w:y="4746"/>
        <w:rPr>
          <w:rFonts w:ascii="Times New Roman" w:cs="Times New Roman" w:eastAsia="Times New Roman" w:hAnsi="Times New Roman"/>
          <w:sz w:val="14"/>
          <w:szCs w:val="14"/>
          <w:b w:val="1"/>
          <w:bCs w:val="1"/>
          <w:color w:val="0000FF"/>
        </w:rPr>
      </w:pPr>
      <w:r>
        <w:rPr>
          <w:rFonts w:ascii="Times New Roman" w:cs="Times New Roman" w:eastAsia="Times New Roman" w:hAnsi="Times New Roman"/>
          <w:sz w:val="14"/>
          <w:szCs w:val="14"/>
          <w:b w:val="1"/>
          <w:bCs w:val="1"/>
          <w:color w:val="0000FF"/>
        </w:rPr>
        <w:t>All financial statement schedules have been omitted because they are not applicable, not required or the information required is shown in the consolidated financial statements or the notes thereto.</w:t>
      </w:r>
    </w:p>
    <w:p>
      <w:pPr>
        <w:spacing w:after="0" w:line="187" w:lineRule="auto"/>
        <w:framePr w:w="820" w:h="126" w:wrap="auto" w:vAnchor="page" w:hAnchor="page" w:x="260" w:y="5276"/>
        <w:rPr>
          <w:rFonts w:ascii="Times New Roman" w:cs="Times New Roman" w:eastAsia="Times New Roman" w:hAnsi="Times New Roman"/>
          <w:sz w:val="14"/>
          <w:szCs w:val="14"/>
          <w:b w:val="1"/>
          <w:bCs w:val="1"/>
          <w:color w:val="0000FF"/>
        </w:rPr>
      </w:pPr>
      <w:r>
        <w:rPr>
          <w:rFonts w:ascii="Times New Roman" w:cs="Times New Roman" w:eastAsia="Times New Roman" w:hAnsi="Times New Roman"/>
          <w:sz w:val="14"/>
          <w:szCs w:val="14"/>
          <w:b w:val="1"/>
          <w:bCs w:val="1"/>
          <w:color w:val="0000FF"/>
        </w:rPr>
        <w:t>(3) Exhibits.</w:t>
      </w:r>
    </w:p>
    <w:p>
      <w:pPr>
        <w:spacing w:after="0" w:line="187" w:lineRule="auto"/>
        <w:framePr w:w="1720" w:h="126" w:wrap="auto" w:vAnchor="page" w:hAnchor="page" w:x="280" w:y="3261"/>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t>Consolidated Balance Sheets</w:t>
      </w:r>
    </w:p>
    <w:p>
      <w:pPr>
        <w:spacing w:after="0" w:line="187" w:lineRule="auto"/>
        <w:framePr w:w="3760" w:h="126" w:wrap="auto" w:vAnchor="page" w:hAnchor="page" w:x="280" w:y="3462"/>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t>Consolidated Statements of Operations and Comprehensive Loss</w:t>
      </w:r>
    </w:p>
    <w:p>
      <w:pPr>
        <w:spacing w:after="0" w:line="244" w:lineRule="auto"/>
        <w:framePr w:w="4760" w:h="328" w:wrap="auto" w:vAnchor="page" w:hAnchor="page" w:x="280" w:y="3664"/>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t>Consolidated Statements of Redeemable Common Stock and Stockholders’ Equity Consolidated Statements of Cash Flows</w:t>
      </w:r>
    </w:p>
    <w:p>
      <w:pPr>
        <w:spacing w:after="0" w:line="187" w:lineRule="auto"/>
        <w:framePr w:w="2560" w:h="126" w:wrap="auto" w:vAnchor="page" w:hAnchor="page" w:x="280" w:y="4067"/>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t>Notes to Consolidated Financial Statements</w:t>
      </w:r>
    </w:p>
    <w:p>
      <w:pPr>
        <w:spacing w:after="0" w:line="197" w:lineRule="auto"/>
        <w:framePr w:w="720" w:h="113" w:wrap="auto" w:vAnchor="page" w:hAnchor="page" w:x="3900" w:y="3061"/>
        <w:rPr>
          <w:rFonts w:ascii="Times New Roman" w:cs="Times New Roman" w:eastAsia="Times New Roman" w:hAnsi="Times New Roman"/>
          <w:sz w:val="12"/>
          <w:szCs w:val="12"/>
          <w:b w:val="1"/>
          <w:bCs w:val="1"/>
          <w:u w:val="single" w:color="auto"/>
          <w:color w:val="0000FF"/>
        </w:rPr>
      </w:pPr>
      <w:r>
        <w:rPr>
          <w:rFonts w:ascii="Times New Roman" w:cs="Times New Roman" w:eastAsia="Times New Roman" w:hAnsi="Times New Roman"/>
          <w:sz w:val="12"/>
          <w:szCs w:val="12"/>
          <w:b w:val="1"/>
          <w:bCs w:val="1"/>
          <w:u w:val="single" w:color="auto"/>
          <w:color w:val="0000FF"/>
        </w:rPr>
        <w:t>Boston, MA</w:t>
      </w:r>
    </w:p>
    <w:p>
      <w:pPr>
        <w:spacing w:after="0" w:line="197" w:lineRule="auto"/>
        <w:framePr w:w="1600" w:h="113" w:wrap="auto" w:vAnchor="page" w:hAnchor="page" w:x="1320" w:y="3061"/>
        <w:rPr>
          <w:rFonts w:ascii="Times New Roman" w:cs="Times New Roman" w:eastAsia="Times New Roman" w:hAnsi="Times New Roman"/>
          <w:sz w:val="12"/>
          <w:szCs w:val="12"/>
          <w:b w:val="1"/>
          <w:bCs w:val="1"/>
          <w:u w:val="single" w:color="auto"/>
          <w:color w:val="0000FF"/>
        </w:rPr>
      </w:pPr>
      <w:r>
        <w:rPr>
          <w:rFonts w:ascii="Times New Roman" w:cs="Times New Roman" w:eastAsia="Times New Roman" w:hAnsi="Times New Roman"/>
          <w:sz w:val="12"/>
          <w:szCs w:val="12"/>
          <w:b w:val="1"/>
          <w:bCs w:val="1"/>
          <w:u w:val="single" w:color="auto"/>
          <w:color w:val="0000FF"/>
        </w:rPr>
        <w:t>PricewaterhouseCoopers LLP</w:t>
      </w:r>
    </w:p>
    <w:p>
      <w:pPr>
        <w:spacing w:after="0" w:line="197" w:lineRule="auto"/>
        <w:framePr w:w="800" w:h="113" w:wrap="auto" w:vAnchor="page" w:hAnchor="page" w:x="5360" w:y="3050"/>
        <w:rPr>
          <w:rFonts w:ascii="Times New Roman" w:cs="Times New Roman" w:eastAsia="Times New Roman" w:hAnsi="Times New Roman"/>
          <w:sz w:val="12"/>
          <w:szCs w:val="12"/>
          <w:b w:val="1"/>
          <w:bCs w:val="1"/>
          <w:u w:val="single" w:color="auto"/>
          <w:color w:val="0000FF"/>
        </w:rPr>
      </w:pPr>
      <w:r>
        <w:rPr>
          <w:rFonts w:ascii="Times New Roman" w:cs="Times New Roman" w:eastAsia="Times New Roman" w:hAnsi="Times New Roman"/>
          <w:sz w:val="12"/>
          <w:szCs w:val="12"/>
          <w:b w:val="1"/>
          <w:bCs w:val="1"/>
          <w:u w:val="single" w:color="auto"/>
          <w:color w:val="0000FF"/>
        </w:rPr>
        <w:t>(Firm ID 238)</w:t>
      </w:r>
    </w:p>
    <w:p>
      <w:pPr>
        <w:spacing w:after="0" w:line="202" w:lineRule="auto"/>
        <w:framePr w:w="640" w:h="126" w:wrap="auto" w:vAnchor="page" w:hAnchor="page" w:x="5620" w:y="1414"/>
        <w:rPr>
          <w:rFonts w:ascii="Times New Roman" w:cs="Times New Roman" w:eastAsia="Times New Roman" w:hAnsi="Times New Roman"/>
          <w:sz w:val="13"/>
          <w:szCs w:val="13"/>
          <w:b w:val="1"/>
          <w:bCs w:val="1"/>
          <w:u w:val="single" w:color="auto"/>
          <w:color w:val="0000FF"/>
        </w:rPr>
      </w:pPr>
      <w:r>
        <w:rPr>
          <w:rFonts w:ascii="Times New Roman" w:cs="Times New Roman" w:eastAsia="Times New Roman" w:hAnsi="Times New Roman"/>
          <w:sz w:val="13"/>
          <w:szCs w:val="13"/>
          <w:b w:val="1"/>
          <w:bCs w:val="1"/>
          <w:u w:val="single" w:color="auto"/>
          <w:color w:val="0000FF"/>
        </w:rPr>
        <w:t>PART IV</w:t>
      </w:r>
    </w:p>
    <w:p>
      <w:pPr>
        <w:spacing w:after="0" w:line="187" w:lineRule="auto"/>
        <w:framePr w:w="4420" w:h="126" w:wrap="auto" w:vAnchor="page" w:hAnchor="page" w:x="780" w:y="1839"/>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t>ITEM 15.   EXHIBIT AND FINANCIAL STATEMENT SCHEDULES</w:t>
      </w:r>
    </w:p>
    <w:p>
      <w:pPr>
        <w:spacing w:after="0" w:line="187" w:lineRule="auto"/>
        <w:framePr w:w="1560" w:h="126" w:wrap="auto" w:vAnchor="page" w:hAnchor="page" w:x="260" w:y="2178"/>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t>(1) Financial Statements</w:t>
      </w:r>
    </w:p>
    <w:p>
      <w:pPr>
        <w:spacing w:after="0" w:line="410" w:lineRule="auto"/>
        <w:framePr w:w="7160" w:h="550" w:wrap="auto" w:vAnchor="page" w:hAnchor="page" w:x="260" w:y="2433"/>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t>The following documents are included on pages F-1 through F-36 attached hereto and are filed as part of this Annual Report. Report of Independent Registered Public Accounting Firm</w:t>
      </w: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387" w:lineRule="exact"/>
        <w:rPr>
          <w:rFonts w:ascii="Times New Roman" w:cs="Times New Roman" w:eastAsia="Times New Roman" w:hAnsi="Times New Roman"/>
          <w:sz w:val="14"/>
          <w:szCs w:val="14"/>
          <w:b w:val="1"/>
          <w:bCs w:val="1"/>
          <w:u w:val="single" w:color="auto"/>
          <w:color w:val="0000FF"/>
        </w:rPr>
      </w:pPr>
    </w:p>
    <w:p>
      <w:pPr>
        <w:ind w:left="964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drawing>
          <wp:anchor simplePos="0" relativeHeight="251657728" behindDoc="1" locked="0" layoutInCell="0" allowOverlap="1">
            <wp:simplePos x="0" y="0"/>
            <wp:positionH relativeFrom="column">
              <wp:posOffset>5992495</wp:posOffset>
            </wp:positionH>
            <wp:positionV relativeFrom="paragraph">
              <wp:posOffset>22860</wp:posOffset>
            </wp:positionV>
            <wp:extent cx="43116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431165" cy="6985"/>
                    </a:xfrm>
                    <a:prstGeom prst="rect">
                      <a:avLst/>
                    </a:prstGeom>
                    <a:noFill/>
                  </pic:spPr>
                </pic:pic>
              </a:graphicData>
            </a:graphic>
          </wp:anchor>
        </w:drawing>
      </w:r>
    </w:p>
    <w:p>
      <w:pPr>
        <w:spacing w:after="0" w:line="33" w:lineRule="exact"/>
        <w:rPr>
          <w:rFonts w:ascii="Times New Roman" w:cs="Times New Roman" w:eastAsia="Times New Roman" w:hAnsi="Times New Roman"/>
          <w:sz w:val="14"/>
          <w:szCs w:val="14"/>
          <w:b w:val="1"/>
          <w:bCs w:val="1"/>
          <w:u w:val="single" w:color="auto"/>
          <w:color w:val="0000FF"/>
        </w:rPr>
      </w:pPr>
    </w:p>
    <w:p>
      <w:pPr>
        <w:ind w:left="9900"/>
        <w:spacing w:after="0"/>
        <w:rPr>
          <w:sz w:val="20"/>
          <w:szCs w:val="20"/>
          <w:color w:val="auto"/>
        </w:rPr>
      </w:pPr>
      <w:r>
        <w:rPr>
          <w:rFonts w:ascii="Times New Roman" w:cs="Times New Roman" w:eastAsia="Times New Roman" w:hAnsi="Times New Roman"/>
          <w:sz w:val="14"/>
          <w:szCs w:val="14"/>
          <w:color w:val="auto"/>
        </w:rPr>
        <w:t>F-2</w:t>
      </w:r>
    </w:p>
    <w:p>
      <w:pPr>
        <w:spacing w:after="0" w:line="242" w:lineRule="exact"/>
        <w:rPr>
          <w:rFonts w:ascii="Times New Roman" w:cs="Times New Roman" w:eastAsia="Times New Roman" w:hAnsi="Times New Roman"/>
          <w:sz w:val="14"/>
          <w:szCs w:val="14"/>
          <w:b w:val="1"/>
          <w:bCs w:val="1"/>
          <w:u w:val="single" w:color="auto"/>
          <w:color w:val="0000FF"/>
        </w:rPr>
      </w:pPr>
    </w:p>
    <w:p>
      <w:pPr>
        <w:ind w:left="9900"/>
        <w:spacing w:after="0"/>
        <w:rPr>
          <w:sz w:val="20"/>
          <w:szCs w:val="20"/>
          <w:color w:val="auto"/>
        </w:rPr>
      </w:pPr>
      <w:r>
        <w:rPr>
          <w:rFonts w:ascii="Times New Roman" w:cs="Times New Roman" w:eastAsia="Times New Roman" w:hAnsi="Times New Roman"/>
          <w:sz w:val="14"/>
          <w:szCs w:val="14"/>
          <w:color w:val="auto"/>
        </w:rPr>
        <w:t>F-3</w:t>
      </w:r>
    </w:p>
    <w:p>
      <w:pPr>
        <w:spacing w:after="0" w:line="41" w:lineRule="exact"/>
        <w:rPr>
          <w:rFonts w:ascii="Times New Roman" w:cs="Times New Roman" w:eastAsia="Times New Roman" w:hAnsi="Times New Roman"/>
          <w:sz w:val="14"/>
          <w:szCs w:val="14"/>
          <w:b w:val="1"/>
          <w:bCs w:val="1"/>
          <w:u w:val="single" w:color="auto"/>
          <w:color w:val="0000FF"/>
        </w:rPr>
      </w:pPr>
    </w:p>
    <w:p>
      <w:pPr>
        <w:ind w:left="9900"/>
        <w:spacing w:after="0"/>
        <w:rPr>
          <w:sz w:val="20"/>
          <w:szCs w:val="20"/>
          <w:color w:val="auto"/>
        </w:rPr>
      </w:pPr>
      <w:r>
        <w:rPr>
          <w:rFonts w:ascii="Times New Roman" w:cs="Times New Roman" w:eastAsia="Times New Roman" w:hAnsi="Times New Roman"/>
          <w:sz w:val="14"/>
          <w:szCs w:val="14"/>
          <w:color w:val="auto"/>
        </w:rPr>
        <w:t>F-4</w:t>
      </w:r>
    </w:p>
    <w:p>
      <w:pPr>
        <w:spacing w:after="0" w:line="41" w:lineRule="exact"/>
        <w:rPr>
          <w:rFonts w:ascii="Times New Roman" w:cs="Times New Roman" w:eastAsia="Times New Roman" w:hAnsi="Times New Roman"/>
          <w:sz w:val="14"/>
          <w:szCs w:val="14"/>
          <w:b w:val="1"/>
          <w:bCs w:val="1"/>
          <w:u w:val="single" w:color="auto"/>
          <w:color w:val="0000FF"/>
        </w:rPr>
      </w:pPr>
    </w:p>
    <w:p>
      <w:pPr>
        <w:ind w:left="9900"/>
        <w:spacing w:after="0"/>
        <w:rPr>
          <w:sz w:val="20"/>
          <w:szCs w:val="20"/>
          <w:color w:val="auto"/>
        </w:rPr>
      </w:pPr>
      <w:r>
        <w:rPr>
          <w:rFonts w:ascii="Times New Roman" w:cs="Times New Roman" w:eastAsia="Times New Roman" w:hAnsi="Times New Roman"/>
          <w:sz w:val="14"/>
          <w:szCs w:val="14"/>
          <w:color w:val="auto"/>
        </w:rPr>
        <w:t>F-5</w:t>
      </w:r>
    </w:p>
    <w:p>
      <w:pPr>
        <w:spacing w:after="0" w:line="41" w:lineRule="exact"/>
        <w:rPr>
          <w:rFonts w:ascii="Times New Roman" w:cs="Times New Roman" w:eastAsia="Times New Roman" w:hAnsi="Times New Roman"/>
          <w:sz w:val="14"/>
          <w:szCs w:val="14"/>
          <w:b w:val="1"/>
          <w:bCs w:val="1"/>
          <w:u w:val="single" w:color="auto"/>
          <w:color w:val="0000FF"/>
        </w:rPr>
      </w:pPr>
    </w:p>
    <w:p>
      <w:pPr>
        <w:ind w:left="9900"/>
        <w:spacing w:after="0"/>
        <w:rPr>
          <w:sz w:val="20"/>
          <w:szCs w:val="20"/>
          <w:color w:val="auto"/>
        </w:rPr>
      </w:pPr>
      <w:r>
        <w:rPr>
          <w:rFonts w:ascii="Times New Roman" w:cs="Times New Roman" w:eastAsia="Times New Roman" w:hAnsi="Times New Roman"/>
          <w:sz w:val="14"/>
          <w:szCs w:val="14"/>
          <w:color w:val="auto"/>
        </w:rPr>
        <w:t>F-6</w:t>
      </w:r>
    </w:p>
    <w:p>
      <w:pPr>
        <w:spacing w:after="0" w:line="41" w:lineRule="exact"/>
        <w:rPr>
          <w:rFonts w:ascii="Times New Roman" w:cs="Times New Roman" w:eastAsia="Times New Roman" w:hAnsi="Times New Roman"/>
          <w:sz w:val="14"/>
          <w:szCs w:val="14"/>
          <w:b w:val="1"/>
          <w:bCs w:val="1"/>
          <w:u w:val="single" w:color="auto"/>
          <w:color w:val="0000FF"/>
        </w:rPr>
      </w:pPr>
    </w:p>
    <w:p>
      <w:pPr>
        <w:ind w:left="9900"/>
        <w:spacing w:after="0"/>
        <w:rPr>
          <w:sz w:val="20"/>
          <w:szCs w:val="20"/>
          <w:color w:val="auto"/>
        </w:rPr>
      </w:pPr>
      <w:r>
        <w:rPr>
          <w:rFonts w:ascii="Times New Roman" w:cs="Times New Roman" w:eastAsia="Times New Roman" w:hAnsi="Times New Roman"/>
          <w:sz w:val="14"/>
          <w:szCs w:val="14"/>
          <w:color w:val="auto"/>
        </w:rPr>
        <w:t>F-7</w:t>
      </w: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133"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200" w:lineRule="exact"/>
        <w:rPr>
          <w:rFonts w:ascii="Times New Roman" w:cs="Times New Roman" w:eastAsia="Times New Roman" w:hAnsi="Times New Roman"/>
          <w:sz w:val="14"/>
          <w:szCs w:val="14"/>
          <w:b w:val="1"/>
          <w:bCs w:val="1"/>
          <w:u w:val="single" w:color="auto"/>
          <w:color w:val="0000FF"/>
        </w:rPr>
      </w:pPr>
    </w:p>
    <w:p>
      <w:pPr>
        <w:spacing w:after="0" w:line="319" w:lineRule="exact"/>
        <w:rPr>
          <w:rFonts w:ascii="Times New Roman" w:cs="Times New Roman" w:eastAsia="Times New Roman" w:hAnsi="Times New Roman"/>
          <w:sz w:val="14"/>
          <w:szCs w:val="14"/>
          <w:b w:val="1"/>
          <w:bCs w:val="1"/>
          <w:u w:val="single" w:color="auto"/>
          <w:color w:val="0000FF"/>
        </w:rPr>
      </w:pPr>
    </w:p>
    <w:tbl>
      <w:tblPr>
        <w:tblLayout w:type="fixed"/>
        <w:tblInd w:w="0" w:type="dxa"/>
        <w:tblCellMar>
          <w:top w:w="0" w:type="dxa"/>
          <w:left w:w="0" w:type="dxa"/>
          <w:bottom w:w="0" w:type="dxa"/>
          <w:right w:w="0" w:type="dxa"/>
        </w:tblCellMar>
      </w:tblPr>
      <w:tr>
        <w:trPr>
          <w:trHeight w:val="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760" w:type="dxa"/>
            <w:vAlign w:val="bottom"/>
            <w:shd w:val="clear" w:color="auto" w:fill="000000"/>
          </w:tcPr>
          <w:p>
            <w:pPr>
              <w:ind w:left="2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80" w:type="dxa"/>
            <w:vAlign w:val="bottom"/>
            <w:gridSpan w:val="2"/>
            <w:shd w:val="clear" w:color="auto" w:fill="000000"/>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3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1"/>
                <w:szCs w:val="11"/>
                <w:b w:val="1"/>
                <w:bCs w:val="1"/>
                <w:color w:val="auto"/>
              </w:rPr>
              <w:t>Se File/ Ref No.</w:t>
            </w:r>
          </w:p>
        </w:tc>
      </w:tr>
      <w:tr>
        <w:trPr>
          <w:trHeight w:val="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9/1/2022</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11/20/2017</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3/13/2019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3/13/2019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3/13/2019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3/13/2019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4.5</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3/13/2019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4.6</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3/13/2019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04/12/2019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04/12/2019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11/29/2019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3/19/2019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3/19/2019</w:t>
            </w:r>
          </w:p>
        </w:tc>
        <w:tc>
          <w:tcPr>
            <w:tcW w:w="60" w:type="dxa"/>
            <w:vAlign w:val="bottom"/>
          </w:tcPr>
          <w:p>
            <w:pPr>
              <w:spacing w:after="0" w:line="20" w:lineRule="exact"/>
              <w:rPr>
                <w:sz w:val="1"/>
                <w:szCs w:val="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89"/>
        </w:trPr>
        <w:tc>
          <w:tcPr>
            <w:tcW w:w="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rFonts w:ascii="Times New Roman" w:cs="Times New Roman" w:eastAsia="Times New Roman" w:hAnsi="Times New Roman"/>
          <w:sz w:val="14"/>
          <w:szCs w:val="14"/>
          <w:b w:val="1"/>
          <w:bCs w:val="1"/>
          <w:u w:val="single" w:color="auto"/>
          <w:color w:val="0000FF"/>
        </w:rPr>
      </w:pPr>
      <w:r>
        <w:rPr>
          <w:rFonts w:ascii="Times New Roman" w:cs="Times New Roman" w:eastAsia="Times New Roman" w:hAnsi="Times New Roman"/>
          <w:sz w:val="14"/>
          <w:szCs w:val="14"/>
          <w:b w:val="1"/>
          <w:bCs w:val="1"/>
          <w:u w:val="single" w:color="auto"/>
          <w:color w:val="0000FF"/>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6" w:name="page77"/>
    <w:bookmarkEnd w:id="76"/>
    <w:p>
      <w:pPr>
        <w:ind w:left="10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4.12</w:t>
      </w:r>
      <w:r>
        <w:rPr>
          <w:sz w:val="20"/>
          <w:szCs w:val="20"/>
          <w:color w:val="auto"/>
        </w:rPr>
        <w:tab/>
      </w:r>
      <w:hyperlink r:id="rId118">
        <w:r>
          <w:rPr>
            <w:rFonts w:ascii="Times New Roman" w:cs="Times New Roman" w:eastAsia="Times New Roman" w:hAnsi="Times New Roman"/>
            <w:sz w:val="14"/>
            <w:szCs w:val="14"/>
            <w:u w:val="single" w:color="auto"/>
            <w:color w:val="0000FF"/>
          </w:rPr>
          <w:t>Form of March 2021 Prefunded Warrant</w:t>
        </w:r>
      </w:hyperlink>
    </w:p>
    <w:p>
      <w:pPr>
        <w:spacing w:after="0" w:line="23" w:lineRule="exact"/>
        <w:rPr>
          <w:sz w:val="20"/>
          <w:szCs w:val="20"/>
          <w:color w:val="auto"/>
        </w:rPr>
      </w:pPr>
    </w:p>
    <w:p>
      <w:pPr>
        <w:ind w:left="780" w:hanging="694"/>
        <w:spacing w:after="0" w:line="266"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4.13</w:t>
      </w:r>
      <w:r>
        <w:rPr>
          <w:sz w:val="20"/>
          <w:szCs w:val="20"/>
          <w:color w:val="auto"/>
        </w:rPr>
        <w:tab/>
      </w:r>
      <w:hyperlink r:id="rId119">
        <w:r>
          <w:rPr>
            <w:rFonts w:ascii="Times New Roman" w:cs="Times New Roman" w:eastAsia="Times New Roman" w:hAnsi="Times New Roman"/>
            <w:sz w:val="14"/>
            <w:szCs w:val="14"/>
            <w:u w:val="single" w:color="auto"/>
            <w:color w:val="0000FF"/>
          </w:rPr>
          <w:t>Securities Purchase Agreement, dated November 5, 2021, by and among X4 Pharmaceuticals, Inc. and the</w:t>
        </w:r>
      </w:hyperlink>
      <w:r>
        <w:rPr>
          <w:rFonts w:ascii="Times New Roman" w:cs="Times New Roman" w:eastAsia="Times New Roman" w:hAnsi="Times New Roman"/>
          <w:sz w:val="14"/>
          <w:szCs w:val="14"/>
          <w:u w:val="single" w:color="auto"/>
          <w:color w:val="0000FF"/>
        </w:rPr>
        <w:t xml:space="preserve"> </w:t>
      </w:r>
      <w:hyperlink r:id="rId119">
        <w:r>
          <w:rPr>
            <w:rFonts w:ascii="Times New Roman" w:cs="Times New Roman" w:eastAsia="Times New Roman" w:hAnsi="Times New Roman"/>
            <w:sz w:val="14"/>
            <w:szCs w:val="14"/>
            <w:u w:val="single" w:color="auto"/>
            <w:color w:val="0000FF"/>
          </w:rPr>
          <w:t>persons party thereto.</w:t>
        </w:r>
      </w:hyperlink>
    </w:p>
    <w:p>
      <w:pPr>
        <w:ind w:left="780" w:hanging="694"/>
        <w:spacing w:after="0" w:line="217"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4.14</w:t>
      </w:r>
      <w:r>
        <w:rPr>
          <w:sz w:val="20"/>
          <w:szCs w:val="20"/>
          <w:color w:val="auto"/>
        </w:rPr>
        <w:tab/>
      </w:r>
      <w:hyperlink r:id="rId120">
        <w:r>
          <w:rPr>
            <w:rFonts w:ascii="Times New Roman" w:cs="Times New Roman" w:eastAsia="Times New Roman" w:hAnsi="Times New Roman"/>
            <w:sz w:val="14"/>
            <w:szCs w:val="14"/>
            <w:u w:val="single" w:color="auto"/>
            <w:color w:val="0000FF"/>
          </w:rPr>
          <w:t>Registration Rights Agreement, dated November 5, 2021, by and among X4 Pharmaceuticals, Inc. and the</w:t>
        </w:r>
      </w:hyperlink>
      <w:r>
        <w:rPr>
          <w:rFonts w:ascii="Times New Roman" w:cs="Times New Roman" w:eastAsia="Times New Roman" w:hAnsi="Times New Roman"/>
          <w:sz w:val="14"/>
          <w:szCs w:val="14"/>
          <w:u w:val="single" w:color="auto"/>
          <w:color w:val="0000FF"/>
        </w:rPr>
        <w:t xml:space="preserve"> </w:t>
      </w:r>
      <w:hyperlink r:id="rId120">
        <w:r>
          <w:rPr>
            <w:rFonts w:ascii="Times New Roman" w:cs="Times New Roman" w:eastAsia="Times New Roman" w:hAnsi="Times New Roman"/>
            <w:sz w:val="14"/>
            <w:szCs w:val="14"/>
            <w:u w:val="single" w:color="auto"/>
            <w:color w:val="0000FF"/>
          </w:rPr>
          <w:t>persons party thereto.</w:t>
        </w:r>
      </w:hyperlink>
    </w:p>
    <w:p>
      <w:pPr>
        <w:ind w:left="100"/>
        <w:spacing w:after="0" w:line="225"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4.15</w:t>
      </w:r>
      <w:r>
        <w:rPr>
          <w:sz w:val="20"/>
          <w:szCs w:val="20"/>
          <w:color w:val="auto"/>
        </w:rPr>
        <w:tab/>
      </w:r>
      <w:hyperlink r:id="rId121">
        <w:r>
          <w:rPr>
            <w:rFonts w:ascii="Times New Roman" w:cs="Times New Roman" w:eastAsia="Times New Roman" w:hAnsi="Times New Roman"/>
            <w:sz w:val="14"/>
            <w:szCs w:val="14"/>
            <w:u w:val="single" w:color="auto"/>
            <w:color w:val="0000FF"/>
          </w:rPr>
          <w:t>Form of November 2021 Prefunded Warrant</w:t>
        </w:r>
      </w:hyperlink>
    </w:p>
    <w:p>
      <w:pPr>
        <w:ind w:left="780" w:right="420" w:hanging="694"/>
        <w:spacing w:after="0" w:line="201"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4.16</w:t>
      </w:r>
      <w:r>
        <w:rPr>
          <w:sz w:val="20"/>
          <w:szCs w:val="20"/>
          <w:color w:val="auto"/>
        </w:rPr>
        <w:tab/>
      </w:r>
      <w:hyperlink r:id="rId122">
        <w:r>
          <w:rPr>
            <w:rFonts w:ascii="Times New Roman" w:cs="Times New Roman" w:eastAsia="Times New Roman" w:hAnsi="Times New Roman"/>
            <w:sz w:val="14"/>
            <w:szCs w:val="14"/>
            <w:u w:val="single" w:color="auto"/>
            <w:color w:val="0000FF"/>
          </w:rPr>
          <w:t>Controlled Equity Offering</w:t>
        </w:r>
        <w:r>
          <w:rPr>
            <w:rFonts w:ascii="Times New Roman" w:cs="Times New Roman" w:eastAsia="Times New Roman" w:hAnsi="Times New Roman"/>
            <w:sz w:val="18"/>
            <w:szCs w:val="18"/>
            <w:u w:val="single" w:color="auto"/>
            <w:color w:val="0000FF"/>
            <w:vertAlign w:val="superscript"/>
          </w:rPr>
          <w:t>SM</w:t>
        </w:r>
        <w:r>
          <w:rPr>
            <w:rFonts w:ascii="Times New Roman" w:cs="Times New Roman" w:eastAsia="Times New Roman" w:hAnsi="Times New Roman"/>
            <w:sz w:val="14"/>
            <w:szCs w:val="14"/>
            <w:u w:val="single" w:color="auto"/>
            <w:color w:val="0000FF"/>
          </w:rPr>
          <w:t xml:space="preserve"> Sales Agreement, dated as of August 7, 2020, by and between X4</w:t>
        </w:r>
      </w:hyperlink>
      <w:r>
        <w:rPr>
          <w:rFonts w:ascii="Times New Roman" w:cs="Times New Roman" w:eastAsia="Times New Roman" w:hAnsi="Times New Roman"/>
          <w:sz w:val="14"/>
          <w:szCs w:val="14"/>
          <w:u w:val="single" w:color="auto"/>
          <w:color w:val="0000FF"/>
        </w:rPr>
        <w:t xml:space="preserve"> </w:t>
      </w:r>
      <w:hyperlink r:id="rId122">
        <w:r>
          <w:rPr>
            <w:rFonts w:ascii="Times New Roman" w:cs="Times New Roman" w:eastAsia="Times New Roman" w:hAnsi="Times New Roman"/>
            <w:sz w:val="14"/>
            <w:szCs w:val="14"/>
            <w:u w:val="single" w:color="auto"/>
            <w:color w:val="0000FF"/>
          </w:rPr>
          <w:t>Pharmaceuticals, Inc. and B. Riley Securities, Inc., Cantor Fitzgerald &amp; Co. and Stifel, Nicolaus &amp;</w:t>
        </w:r>
      </w:hyperlink>
      <w:r>
        <w:rPr>
          <w:rFonts w:ascii="Times New Roman" w:cs="Times New Roman" w:eastAsia="Times New Roman" w:hAnsi="Times New Roman"/>
          <w:sz w:val="14"/>
          <w:szCs w:val="14"/>
          <w:u w:val="single" w:color="auto"/>
          <w:color w:val="0000FF"/>
        </w:rPr>
        <w:t xml:space="preserve"> </w:t>
      </w:r>
      <w:hyperlink r:id="rId122">
        <w:r>
          <w:rPr>
            <w:rFonts w:ascii="Times New Roman" w:cs="Times New Roman" w:eastAsia="Times New Roman" w:hAnsi="Times New Roman"/>
            <w:sz w:val="14"/>
            <w:szCs w:val="14"/>
            <w:u w:val="single" w:color="auto"/>
            <w:color w:val="0000FF"/>
          </w:rPr>
          <w:t>Company, Incorporated.</w:t>
        </w:r>
      </w:hyperlink>
    </w:p>
    <w:p>
      <w:pPr>
        <w:ind w:left="60"/>
        <w:spacing w:after="0"/>
        <w:tabs>
          <w:tab w:leader="none" w:pos="760" w:val="left"/>
        </w:tabs>
        <w:rPr>
          <w:sz w:val="20"/>
          <w:szCs w:val="20"/>
          <w:color w:val="auto"/>
        </w:rPr>
      </w:pPr>
      <w:r>
        <w:rPr>
          <w:rFonts w:ascii="Times New Roman" w:cs="Times New Roman" w:eastAsia="Times New Roman" w:hAnsi="Times New Roman"/>
          <w:sz w:val="14"/>
          <w:szCs w:val="14"/>
          <w:color w:val="auto"/>
        </w:rPr>
        <w:t>4.17*</w:t>
      </w:r>
      <w:r>
        <w:rPr>
          <w:sz w:val="20"/>
          <w:szCs w:val="20"/>
          <w:color w:val="auto"/>
        </w:rPr>
        <w:tab/>
      </w:r>
      <w:r>
        <w:rPr>
          <w:rFonts w:ascii="Times New Roman" w:cs="Times New Roman" w:eastAsia="Times New Roman" w:hAnsi="Times New Roman"/>
          <w:sz w:val="14"/>
          <w:szCs w:val="14"/>
          <w:u w:val="single" w:color="auto"/>
          <w:color w:val="0000FF"/>
        </w:rPr>
        <w:t>Description of Registered Securities</w:t>
      </w:r>
    </w:p>
    <w:p>
      <w:pPr>
        <w:ind w:left="10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4.18</w:t>
      </w:r>
      <w:r>
        <w:rPr>
          <w:sz w:val="20"/>
          <w:szCs w:val="20"/>
          <w:color w:val="auto"/>
        </w:rPr>
        <w:tab/>
      </w:r>
      <w:hyperlink r:id="rId123">
        <w:r>
          <w:rPr>
            <w:rFonts w:ascii="Times New Roman" w:cs="Times New Roman" w:eastAsia="Times New Roman" w:hAnsi="Times New Roman"/>
            <w:sz w:val="14"/>
            <w:szCs w:val="14"/>
            <w:u w:val="single" w:color="auto"/>
            <w:color w:val="0000FF"/>
          </w:rPr>
          <w:t>Form of March 2022 Prefunded Warrant</w:t>
        </w:r>
      </w:hyperlink>
    </w:p>
    <w:p>
      <w:pPr>
        <w:spacing w:after="0" w:line="7" w:lineRule="exact"/>
        <w:rPr>
          <w:rFonts w:ascii="Times New Roman" w:cs="Times New Roman" w:eastAsia="Times New Roman" w:hAnsi="Times New Roman"/>
          <w:sz w:val="14"/>
          <w:szCs w:val="14"/>
          <w:u w:val="single" w:color="auto"/>
          <w:color w:val="0000FF"/>
        </w:rPr>
      </w:pPr>
    </w:p>
    <w:p>
      <w:pPr>
        <w:ind w:left="780" w:right="220" w:hanging="694"/>
        <w:spacing w:after="0" w:line="214"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4.19</w:t>
      </w:r>
      <w:r>
        <w:rPr>
          <w:sz w:val="20"/>
          <w:szCs w:val="20"/>
          <w:color w:val="auto"/>
        </w:rPr>
        <w:tab/>
      </w:r>
      <w:hyperlink r:id="rId124">
        <w:r>
          <w:rPr>
            <w:rFonts w:ascii="Times New Roman" w:cs="Times New Roman" w:eastAsia="Times New Roman" w:hAnsi="Times New Roman"/>
            <w:sz w:val="14"/>
            <w:szCs w:val="14"/>
            <w:u w:val="single" w:color="auto"/>
            <w:color w:val="0000FF"/>
          </w:rPr>
          <w:t>Securities Purchase Agreement, dated March 3, 2022, by and among X4 Pharmaceuticals, Inc. and the</w:t>
        </w:r>
      </w:hyperlink>
      <w:r>
        <w:rPr>
          <w:rFonts w:ascii="Times New Roman" w:cs="Times New Roman" w:eastAsia="Times New Roman" w:hAnsi="Times New Roman"/>
          <w:sz w:val="14"/>
          <w:szCs w:val="14"/>
          <w:u w:val="single" w:color="auto"/>
          <w:color w:val="0000FF"/>
        </w:rPr>
        <w:t xml:space="preserve"> </w:t>
      </w:r>
      <w:hyperlink r:id="rId124">
        <w:r>
          <w:rPr>
            <w:rFonts w:ascii="Times New Roman" w:cs="Times New Roman" w:eastAsia="Times New Roman" w:hAnsi="Times New Roman"/>
            <w:sz w:val="14"/>
            <w:szCs w:val="14"/>
            <w:u w:val="single" w:color="auto"/>
            <w:color w:val="0000FF"/>
          </w:rPr>
          <w:t>persons party thereto.</w:t>
        </w:r>
      </w:hyperlink>
    </w:p>
    <w:p>
      <w:pPr>
        <w:spacing w:after="0" w:line="1" w:lineRule="exact"/>
        <w:rPr>
          <w:sz w:val="20"/>
          <w:szCs w:val="20"/>
          <w:color w:val="auto"/>
        </w:rPr>
      </w:pPr>
    </w:p>
    <w:p>
      <w:pPr>
        <w:ind w:left="780" w:right="240" w:hanging="694"/>
        <w:spacing w:after="0" w:line="205"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4.20</w:t>
      </w:r>
      <w:r>
        <w:rPr>
          <w:sz w:val="20"/>
          <w:szCs w:val="20"/>
          <w:color w:val="auto"/>
        </w:rPr>
        <w:tab/>
      </w:r>
      <w:hyperlink r:id="rId125">
        <w:r>
          <w:rPr>
            <w:rFonts w:ascii="Times New Roman" w:cs="Times New Roman" w:eastAsia="Times New Roman" w:hAnsi="Times New Roman"/>
            <w:sz w:val="14"/>
            <w:szCs w:val="14"/>
            <w:u w:val="single" w:color="auto"/>
            <w:color w:val="0000FF"/>
          </w:rPr>
          <w:t>Registration Rights Agreement, dated March 3, 2022, by and among X4 Pharmaceuticals, Inc. and the</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persons party thereto.</w:t>
        </w:r>
      </w:hyperlink>
    </w:p>
    <w:p>
      <w:pPr>
        <w:spacing w:after="0" w:line="1" w:lineRule="exact"/>
        <w:rPr>
          <w:sz w:val="20"/>
          <w:szCs w:val="20"/>
          <w:color w:val="auto"/>
        </w:rPr>
      </w:pPr>
    </w:p>
    <w:p>
      <w:pPr>
        <w:ind w:left="780" w:right="20" w:hanging="694"/>
        <w:spacing w:after="0" w:line="205"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4.21</w:t>
      </w:r>
      <w:r>
        <w:rPr>
          <w:sz w:val="20"/>
          <w:szCs w:val="20"/>
          <w:color w:val="auto"/>
        </w:rPr>
        <w:tab/>
      </w:r>
      <w:hyperlink r:id="rId126">
        <w:r>
          <w:rPr>
            <w:rFonts w:ascii="Times New Roman" w:cs="Times New Roman" w:eastAsia="Times New Roman" w:hAnsi="Times New Roman"/>
            <w:sz w:val="14"/>
            <w:szCs w:val="14"/>
            <w:u w:val="single" w:color="auto"/>
            <w:color w:val="0000FF"/>
          </w:rPr>
          <w:t>Purchase Agreement, dated as of January 14, 2022, by and between X4 Pharmaceuticals, Inc. and Lincoln</w:t>
        </w:r>
      </w:hyperlink>
      <w:r>
        <w:rPr>
          <w:rFonts w:ascii="Times New Roman" w:cs="Times New Roman" w:eastAsia="Times New Roman" w:hAnsi="Times New Roman"/>
          <w:sz w:val="14"/>
          <w:szCs w:val="14"/>
          <w:u w:val="single" w:color="auto"/>
          <w:color w:val="0000FF"/>
        </w:rPr>
        <w:t xml:space="preserve"> </w:t>
      </w:r>
      <w:hyperlink r:id="rId126">
        <w:r>
          <w:rPr>
            <w:rFonts w:ascii="Times New Roman" w:cs="Times New Roman" w:eastAsia="Times New Roman" w:hAnsi="Times New Roman"/>
            <w:sz w:val="14"/>
            <w:szCs w:val="14"/>
            <w:u w:val="single" w:color="auto"/>
            <w:color w:val="0000FF"/>
          </w:rPr>
          <w:t>Park Capital Fund, LLC.</w:t>
        </w:r>
      </w:hyperlink>
    </w:p>
    <w:p>
      <w:pPr>
        <w:ind w:left="100"/>
        <w:spacing w:after="0" w:line="188" w:lineRule="auto"/>
        <w:tabs>
          <w:tab w:leader="none" w:pos="76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4.22</w:t>
      </w:r>
      <w:r>
        <w:rPr>
          <w:sz w:val="20"/>
          <w:szCs w:val="20"/>
          <w:color w:val="auto"/>
        </w:rPr>
        <w:tab/>
      </w:r>
      <w:hyperlink r:id="rId127">
        <w:r>
          <w:rPr>
            <w:rFonts w:ascii="Times New Roman" w:cs="Times New Roman" w:eastAsia="Times New Roman" w:hAnsi="Times New Roman"/>
            <w:sz w:val="13"/>
            <w:szCs w:val="13"/>
            <w:u w:val="single" w:color="auto"/>
            <w:color w:val="0000FF"/>
          </w:rPr>
          <w:t>Registration Rights Agreement, dated as of January 14, 2022, by and between X4 Pharmaceuticals, Inc.</w:t>
        </w:r>
      </w:hyperlink>
    </w:p>
    <w:p>
      <w:pPr>
        <w:ind w:left="780"/>
        <w:spacing w:after="0" w:line="237" w:lineRule="auto"/>
        <w:rPr>
          <w:rFonts w:ascii="Times New Roman" w:cs="Times New Roman" w:eastAsia="Times New Roman" w:hAnsi="Times New Roman"/>
          <w:sz w:val="14"/>
          <w:szCs w:val="14"/>
          <w:u w:val="single" w:color="auto"/>
          <w:color w:val="0000FF"/>
        </w:rPr>
      </w:pPr>
      <w:hyperlink r:id="rId127">
        <w:r>
          <w:rPr>
            <w:rFonts w:ascii="Times New Roman" w:cs="Times New Roman" w:eastAsia="Times New Roman" w:hAnsi="Times New Roman"/>
            <w:sz w:val="14"/>
            <w:szCs w:val="14"/>
            <w:u w:val="single" w:color="auto"/>
            <w:color w:val="0000FF"/>
          </w:rPr>
          <w:t>and Lincoln Park Capital Fund, LLC.</w:t>
        </w:r>
      </w:hyperlink>
    </w:p>
    <w:p>
      <w:pPr>
        <w:spacing w:after="0" w:line="1" w:lineRule="exact"/>
        <w:rPr>
          <w:sz w:val="20"/>
          <w:szCs w:val="20"/>
          <w:color w:val="auto"/>
        </w:rPr>
      </w:pPr>
    </w:p>
    <w:p>
      <w:pPr>
        <w:ind w:left="780" w:right="300" w:hanging="694"/>
        <w:spacing w:after="0" w:line="205"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4.23</w:t>
      </w:r>
      <w:r>
        <w:rPr>
          <w:sz w:val="20"/>
          <w:szCs w:val="20"/>
          <w:color w:val="auto"/>
        </w:rPr>
        <w:tab/>
      </w:r>
      <w:hyperlink r:id="rId128">
        <w:r>
          <w:rPr>
            <w:rFonts w:ascii="Times New Roman" w:cs="Times New Roman" w:eastAsia="Times New Roman" w:hAnsi="Times New Roman"/>
            <w:sz w:val="14"/>
            <w:szCs w:val="14"/>
            <w:u w:val="single" w:color="auto"/>
            <w:color w:val="0000FF"/>
          </w:rPr>
          <w:t>Securities Purchase Agreement, dated June 30, 2022, by and among X4 Pharmaceuticals Inc. and the</w:t>
        </w:r>
      </w:hyperlink>
      <w:r>
        <w:rPr>
          <w:rFonts w:ascii="Times New Roman" w:cs="Times New Roman" w:eastAsia="Times New Roman" w:hAnsi="Times New Roman"/>
          <w:sz w:val="14"/>
          <w:szCs w:val="14"/>
          <w:u w:val="single" w:color="auto"/>
          <w:color w:val="0000FF"/>
        </w:rPr>
        <w:t xml:space="preserve"> </w:t>
      </w:r>
      <w:hyperlink r:id="rId128">
        <w:r>
          <w:rPr>
            <w:rFonts w:ascii="Times New Roman" w:cs="Times New Roman" w:eastAsia="Times New Roman" w:hAnsi="Times New Roman"/>
            <w:sz w:val="14"/>
            <w:szCs w:val="14"/>
            <w:u w:val="single" w:color="auto"/>
            <w:color w:val="0000FF"/>
          </w:rPr>
          <w:t>persons party thereto.</w:t>
        </w:r>
      </w:hyperlink>
    </w:p>
    <w:p>
      <w:pPr>
        <w:spacing w:after="0" w:line="1" w:lineRule="exact"/>
        <w:rPr>
          <w:sz w:val="20"/>
          <w:szCs w:val="20"/>
          <w:color w:val="auto"/>
        </w:rPr>
      </w:pPr>
    </w:p>
    <w:p>
      <w:pPr>
        <w:ind w:left="780" w:right="300" w:hanging="694"/>
        <w:spacing w:after="0" w:line="205"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4.24</w:t>
      </w:r>
      <w:r>
        <w:rPr>
          <w:sz w:val="20"/>
          <w:szCs w:val="20"/>
          <w:color w:val="auto"/>
        </w:rPr>
        <w:tab/>
      </w:r>
      <w:hyperlink r:id="rId129">
        <w:r>
          <w:rPr>
            <w:rFonts w:ascii="Times New Roman" w:cs="Times New Roman" w:eastAsia="Times New Roman" w:hAnsi="Times New Roman"/>
            <w:sz w:val="14"/>
            <w:szCs w:val="14"/>
            <w:u w:val="single" w:color="auto"/>
            <w:color w:val="0000FF"/>
          </w:rPr>
          <w:t>Registration Rights Agreement, dated June 30, 2022, by and among X4 Pharmaceuticals Inc. and the</w:t>
        </w:r>
      </w:hyperlink>
      <w:r>
        <w:rPr>
          <w:rFonts w:ascii="Times New Roman" w:cs="Times New Roman" w:eastAsia="Times New Roman" w:hAnsi="Times New Roman"/>
          <w:sz w:val="14"/>
          <w:szCs w:val="14"/>
          <w:u w:val="single" w:color="auto"/>
          <w:color w:val="0000FF"/>
        </w:rPr>
        <w:t xml:space="preserve"> </w:t>
      </w:r>
      <w:hyperlink r:id="rId129">
        <w:r>
          <w:rPr>
            <w:rFonts w:ascii="Times New Roman" w:cs="Times New Roman" w:eastAsia="Times New Roman" w:hAnsi="Times New Roman"/>
            <w:sz w:val="14"/>
            <w:szCs w:val="14"/>
            <w:u w:val="single" w:color="auto"/>
            <w:color w:val="0000FF"/>
          </w:rPr>
          <w:t>persons party thereto.</w:t>
        </w:r>
      </w:hyperlink>
    </w:p>
    <w:p>
      <w:pPr>
        <w:spacing w:after="0" w:line="1" w:lineRule="exact"/>
        <w:rPr>
          <w:sz w:val="20"/>
          <w:szCs w:val="20"/>
          <w:color w:val="auto"/>
        </w:rPr>
      </w:pPr>
    </w:p>
    <w:p>
      <w:pPr>
        <w:ind w:left="10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4.25</w:t>
      </w:r>
      <w:r>
        <w:rPr>
          <w:sz w:val="20"/>
          <w:szCs w:val="20"/>
          <w:color w:val="auto"/>
        </w:rPr>
        <w:tab/>
      </w:r>
      <w:hyperlink r:id="rId130">
        <w:r>
          <w:rPr>
            <w:rFonts w:ascii="Times New Roman" w:cs="Times New Roman" w:eastAsia="Times New Roman" w:hAnsi="Times New Roman"/>
            <w:sz w:val="14"/>
            <w:szCs w:val="14"/>
            <w:u w:val="single" w:color="auto"/>
            <w:color w:val="0000FF"/>
          </w:rPr>
          <w:t>Form of July 2022 Pre-Funded Warrant</w:t>
        </w:r>
      </w:hyperlink>
    </w:p>
    <w:p>
      <w:pPr>
        <w:spacing w:after="0" w:line="7" w:lineRule="exact"/>
        <w:rPr>
          <w:sz w:val="20"/>
          <w:szCs w:val="20"/>
          <w:color w:val="auto"/>
        </w:rPr>
      </w:pPr>
    </w:p>
    <w:p>
      <w:pPr>
        <w:ind w:left="10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4.26</w:t>
      </w:r>
      <w:r>
        <w:rPr>
          <w:sz w:val="20"/>
          <w:szCs w:val="20"/>
          <w:color w:val="auto"/>
        </w:rPr>
        <w:tab/>
      </w:r>
      <w:hyperlink r:id="rId131">
        <w:r>
          <w:rPr>
            <w:rFonts w:ascii="Times New Roman" w:cs="Times New Roman" w:eastAsia="Times New Roman" w:hAnsi="Times New Roman"/>
            <w:sz w:val="14"/>
            <w:szCs w:val="14"/>
            <w:u w:val="single" w:color="auto"/>
            <w:color w:val="0000FF"/>
          </w:rPr>
          <w:t>Form of July 2022 Warrant</w:t>
        </w:r>
      </w:hyperlink>
    </w:p>
    <w:p>
      <w:pPr>
        <w:spacing w:after="0" w:line="19" w:lineRule="exact"/>
        <w:rPr>
          <w:sz w:val="20"/>
          <w:szCs w:val="20"/>
          <w:color w:val="auto"/>
        </w:rPr>
      </w:pPr>
    </w:p>
    <w:p>
      <w:pPr>
        <w:ind w:left="10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4.27</w:t>
      </w:r>
      <w:r>
        <w:rPr>
          <w:sz w:val="20"/>
          <w:szCs w:val="20"/>
          <w:color w:val="auto"/>
        </w:rPr>
        <w:tab/>
      </w:r>
      <w:hyperlink r:id="rId132">
        <w:r>
          <w:rPr>
            <w:rFonts w:ascii="Times New Roman" w:cs="Times New Roman" w:eastAsia="Times New Roman" w:hAnsi="Times New Roman"/>
            <w:sz w:val="14"/>
            <w:szCs w:val="14"/>
            <w:u w:val="single" w:color="auto"/>
            <w:color w:val="0000FF"/>
          </w:rPr>
          <w:t>Form of December 2022 Pre-Funded Warrant</w:t>
        </w:r>
      </w:hyperlink>
    </w:p>
    <w:p>
      <w:pPr>
        <w:spacing w:after="0" w:line="19" w:lineRule="exact"/>
        <w:rPr>
          <w:sz w:val="20"/>
          <w:szCs w:val="20"/>
          <w:color w:val="auto"/>
        </w:rPr>
      </w:pPr>
    </w:p>
    <w:p>
      <w:pPr>
        <w:ind w:left="10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4.28</w:t>
      </w:r>
      <w:r>
        <w:rPr>
          <w:sz w:val="20"/>
          <w:szCs w:val="20"/>
          <w:color w:val="auto"/>
        </w:rPr>
        <w:tab/>
      </w:r>
      <w:hyperlink r:id="rId133">
        <w:r>
          <w:rPr>
            <w:rFonts w:ascii="Times New Roman" w:cs="Times New Roman" w:eastAsia="Times New Roman" w:hAnsi="Times New Roman"/>
            <w:sz w:val="14"/>
            <w:szCs w:val="14"/>
            <w:u w:val="single" w:color="auto"/>
            <w:color w:val="0000FF"/>
          </w:rPr>
          <w:t>Form of Class C Warrant.</w:t>
        </w:r>
      </w:hyperlink>
    </w:p>
    <w:p>
      <w:pPr>
        <w:spacing w:after="0" w:line="19" w:lineRule="exact"/>
        <w:rPr>
          <w:sz w:val="20"/>
          <w:szCs w:val="20"/>
          <w:color w:val="auto"/>
        </w:rPr>
      </w:pPr>
    </w:p>
    <w:p>
      <w:pPr>
        <w:ind w:left="2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134">
        <w:r>
          <w:rPr>
            <w:rFonts w:ascii="Times New Roman" w:cs="Times New Roman" w:eastAsia="Times New Roman" w:hAnsi="Times New Roman"/>
            <w:sz w:val="14"/>
            <w:szCs w:val="14"/>
            <w:u w:val="single" w:color="auto"/>
            <w:color w:val="0000FF"/>
          </w:rPr>
          <w:t>2015 Employee, Director and Consultant Equity Incentive Plan, as amended.</w:t>
        </w:r>
      </w:hyperlink>
    </w:p>
    <w:p>
      <w:pPr>
        <w:spacing w:after="0" w:line="19" w:lineRule="exact"/>
        <w:rPr>
          <w:sz w:val="20"/>
          <w:szCs w:val="20"/>
          <w:color w:val="auto"/>
        </w:rPr>
      </w:pPr>
    </w:p>
    <w:p>
      <w:pPr>
        <w:ind w:left="780" w:right="200" w:hanging="759"/>
        <w:spacing w:after="0" w:line="214"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w:t>
      </w:r>
      <w:r>
        <w:rPr>
          <w:sz w:val="20"/>
          <w:szCs w:val="20"/>
          <w:color w:val="auto"/>
        </w:rPr>
        <w:tab/>
      </w:r>
      <w:hyperlink r:id="rId135">
        <w:r>
          <w:rPr>
            <w:rFonts w:ascii="Times New Roman" w:cs="Times New Roman" w:eastAsia="Times New Roman" w:hAnsi="Times New Roman"/>
            <w:sz w:val="14"/>
            <w:szCs w:val="14"/>
            <w:u w:val="single" w:color="auto"/>
            <w:color w:val="0000FF"/>
          </w:rPr>
          <w:t>Form of Stock Option Agreement under the 2015 Employee, Director and Consultant Equity Incentive</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Plan, as amended.</w:t>
        </w:r>
      </w:hyperlink>
    </w:p>
    <w:p>
      <w:pPr>
        <w:spacing w:after="0" w:line="1" w:lineRule="exact"/>
        <w:rPr>
          <w:sz w:val="20"/>
          <w:szCs w:val="20"/>
          <w:color w:val="auto"/>
        </w:rPr>
      </w:pPr>
    </w:p>
    <w:p>
      <w:pPr>
        <w:ind w:left="780" w:right="300" w:hanging="759"/>
        <w:spacing w:after="0" w:line="205" w:lineRule="auto"/>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136">
        <w:r>
          <w:rPr>
            <w:rFonts w:ascii="Times New Roman" w:cs="Times New Roman" w:eastAsia="Times New Roman" w:hAnsi="Times New Roman"/>
            <w:sz w:val="14"/>
            <w:szCs w:val="14"/>
            <w:u w:val="single" w:color="auto"/>
            <w:color w:val="0000FF"/>
          </w:rPr>
          <w:t>Form of Restricted Stock Unit Agreement under the 2015 Employee, Director and Consultant Equity</w:t>
        </w:r>
      </w:hyperlink>
      <w:r>
        <w:rPr>
          <w:rFonts w:ascii="Times New Roman" w:cs="Times New Roman" w:eastAsia="Times New Roman" w:hAnsi="Times New Roman"/>
          <w:sz w:val="14"/>
          <w:szCs w:val="14"/>
          <w:u w:val="single" w:color="auto"/>
          <w:color w:val="0000FF"/>
        </w:rPr>
        <w:t xml:space="preserve"> </w:t>
      </w:r>
      <w:hyperlink r:id="rId136">
        <w:r>
          <w:rPr>
            <w:rFonts w:ascii="Times New Roman" w:cs="Times New Roman" w:eastAsia="Times New Roman" w:hAnsi="Times New Roman"/>
            <w:sz w:val="14"/>
            <w:szCs w:val="14"/>
            <w:u w:val="single" w:color="auto"/>
            <w:color w:val="0000FF"/>
          </w:rPr>
          <w:t>Incentive Plan, as amended</w:t>
        </w:r>
      </w:hyperlink>
    </w:p>
    <w:p>
      <w:pPr>
        <w:spacing w:after="0" w:line="1" w:lineRule="exact"/>
        <w:rPr>
          <w:sz w:val="20"/>
          <w:szCs w:val="20"/>
          <w:color w:val="auto"/>
        </w:rPr>
      </w:pPr>
    </w:p>
    <w:p>
      <w:pPr>
        <w:ind w:left="2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137">
        <w:r>
          <w:rPr>
            <w:rFonts w:ascii="Times New Roman" w:cs="Times New Roman" w:eastAsia="Times New Roman" w:hAnsi="Times New Roman"/>
            <w:sz w:val="14"/>
            <w:szCs w:val="14"/>
            <w:u w:val="single" w:color="auto"/>
            <w:color w:val="0000FF"/>
          </w:rPr>
          <w:t>Amended and Restated 2017 Equity Incentive Plan</w:t>
        </w:r>
      </w:hyperlink>
    </w:p>
    <w:p>
      <w:pPr>
        <w:spacing w:after="0" w:line="7" w:lineRule="exact"/>
        <w:rPr>
          <w:sz w:val="20"/>
          <w:szCs w:val="20"/>
          <w:color w:val="auto"/>
        </w:rPr>
      </w:pPr>
    </w:p>
    <w:p>
      <w:pPr>
        <w:ind w:left="2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138">
        <w:r>
          <w:rPr>
            <w:rFonts w:ascii="Times New Roman" w:cs="Times New Roman" w:eastAsia="Times New Roman" w:hAnsi="Times New Roman"/>
            <w:sz w:val="14"/>
            <w:szCs w:val="14"/>
            <w:u w:val="single" w:color="auto"/>
            <w:color w:val="0000FF"/>
          </w:rPr>
          <w:t>Form of Incentive Stock Option Agreement under the 2017 Equity Incentive Plan</w:t>
        </w:r>
      </w:hyperlink>
    </w:p>
    <w:p>
      <w:pPr>
        <w:spacing w:after="0" w:line="19" w:lineRule="exact"/>
        <w:rPr>
          <w:sz w:val="20"/>
          <w:szCs w:val="20"/>
          <w:color w:val="auto"/>
        </w:rPr>
      </w:pPr>
    </w:p>
    <w:p>
      <w:pPr>
        <w:ind w:left="2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139">
        <w:r>
          <w:rPr>
            <w:rFonts w:ascii="Times New Roman" w:cs="Times New Roman" w:eastAsia="Times New Roman" w:hAnsi="Times New Roman"/>
            <w:sz w:val="14"/>
            <w:szCs w:val="14"/>
            <w:u w:val="single" w:color="auto"/>
            <w:color w:val="0000FF"/>
          </w:rPr>
          <w:t>Form of Nonstatutory Stock Option Agreement under the 2017 Equity Incentive Plan</w:t>
        </w:r>
      </w:hyperlink>
    </w:p>
    <w:p>
      <w:pPr>
        <w:spacing w:after="0" w:line="19" w:lineRule="exact"/>
        <w:rPr>
          <w:sz w:val="20"/>
          <w:szCs w:val="20"/>
          <w:color w:val="auto"/>
        </w:rPr>
      </w:pPr>
    </w:p>
    <w:p>
      <w:pPr>
        <w:ind w:left="2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140">
        <w:r>
          <w:rPr>
            <w:rFonts w:ascii="Times New Roman" w:cs="Times New Roman" w:eastAsia="Times New Roman" w:hAnsi="Times New Roman"/>
            <w:sz w:val="14"/>
            <w:szCs w:val="14"/>
            <w:u w:val="single" w:color="auto"/>
            <w:color w:val="0000FF"/>
          </w:rPr>
          <w:t>Form of Restricted Stock Agreement under the 2017 Equity Incentive Plan</w:t>
        </w:r>
      </w:hyperlink>
    </w:p>
    <w:p>
      <w:pPr>
        <w:spacing w:after="0" w:line="19" w:lineRule="exact"/>
        <w:rPr>
          <w:sz w:val="20"/>
          <w:szCs w:val="20"/>
          <w:color w:val="auto"/>
        </w:rPr>
      </w:pPr>
    </w:p>
    <w:p>
      <w:pPr>
        <w:ind w:left="2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141">
        <w:r>
          <w:rPr>
            <w:rFonts w:ascii="Times New Roman" w:cs="Times New Roman" w:eastAsia="Times New Roman" w:hAnsi="Times New Roman"/>
            <w:sz w:val="14"/>
            <w:szCs w:val="14"/>
            <w:u w:val="single" w:color="auto"/>
            <w:color w:val="0000FF"/>
          </w:rPr>
          <w:t>Form of Restricted Stock Unit Agreement under the 2017 Equity Incentive Plan</w:t>
        </w:r>
      </w:hyperlink>
    </w:p>
    <w:p>
      <w:pPr>
        <w:spacing w:after="0" w:line="19" w:lineRule="exact"/>
        <w:rPr>
          <w:sz w:val="20"/>
          <w:szCs w:val="20"/>
          <w:color w:val="auto"/>
        </w:rPr>
      </w:pPr>
    </w:p>
    <w:p>
      <w:pPr>
        <w:ind w:left="20"/>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w:t>
      </w:r>
      <w:r>
        <w:rPr>
          <w:sz w:val="20"/>
          <w:szCs w:val="20"/>
          <w:color w:val="auto"/>
        </w:rPr>
        <w:tab/>
      </w:r>
      <w:hyperlink r:id="rId142">
        <w:r>
          <w:rPr>
            <w:rFonts w:ascii="Times New Roman" w:cs="Times New Roman" w:eastAsia="Times New Roman" w:hAnsi="Times New Roman"/>
            <w:sz w:val="14"/>
            <w:szCs w:val="14"/>
            <w:u w:val="single" w:color="auto"/>
            <w:color w:val="0000FF"/>
          </w:rPr>
          <w:t>Form of Performance-Based Restricted Stock Unit</w:t>
        </w:r>
      </w:hyperlink>
    </w:p>
    <w:p>
      <w:pPr>
        <w:spacing w:after="0" w:line="19" w:lineRule="exact"/>
        <w:rPr>
          <w:sz w:val="20"/>
          <w:szCs w:val="20"/>
          <w:color w:val="auto"/>
        </w:rPr>
      </w:pPr>
    </w:p>
    <w:p>
      <w:pPr>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w:t>
      </w:r>
      <w:r>
        <w:rPr>
          <w:sz w:val="20"/>
          <w:szCs w:val="20"/>
          <w:color w:val="auto"/>
        </w:rPr>
        <w:tab/>
      </w:r>
      <w:hyperlink r:id="rId143">
        <w:r>
          <w:rPr>
            <w:rFonts w:ascii="Times New Roman" w:cs="Times New Roman" w:eastAsia="Times New Roman" w:hAnsi="Times New Roman"/>
            <w:sz w:val="14"/>
            <w:szCs w:val="14"/>
            <w:u w:val="single" w:color="auto"/>
            <w:color w:val="0000FF"/>
          </w:rPr>
          <w:t>2017 Employee Stock Purchase Plan</w:t>
        </w:r>
      </w:hyperlink>
    </w:p>
    <w:p>
      <w:pPr>
        <w:spacing w:after="0" w:line="19" w:lineRule="exact"/>
        <w:rPr>
          <w:sz w:val="20"/>
          <w:szCs w:val="20"/>
          <w:color w:val="auto"/>
        </w:rPr>
      </w:pPr>
    </w:p>
    <w:p>
      <w:pPr>
        <w:spacing w:after="0"/>
        <w:tabs>
          <w:tab w:leader="none" w:pos="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w:t>
      </w:r>
      <w:r>
        <w:rPr>
          <w:sz w:val="20"/>
          <w:szCs w:val="20"/>
          <w:color w:val="auto"/>
        </w:rPr>
        <w:tab/>
      </w:r>
      <w:hyperlink r:id="rId144">
        <w:r>
          <w:rPr>
            <w:rFonts w:ascii="Times New Roman" w:cs="Times New Roman" w:eastAsia="Times New Roman" w:hAnsi="Times New Roman"/>
            <w:sz w:val="14"/>
            <w:szCs w:val="14"/>
            <w:u w:val="single" w:color="auto"/>
            <w:color w:val="0000FF"/>
          </w:rPr>
          <w:t>X4 Pharmaceuticals, Inc. 2019 Inducement Equity Incentive Plan</w:t>
        </w:r>
      </w:hyperlink>
    </w:p>
    <w:p>
      <w:pPr>
        <w:spacing w:after="0" w:line="200" w:lineRule="exact"/>
        <w:rPr>
          <w:sz w:val="20"/>
          <w:szCs w:val="20"/>
          <w:color w:val="auto"/>
        </w:rPr>
      </w:pPr>
    </w:p>
    <w:p>
      <w:pPr>
        <w:spacing w:after="0" w:line="35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3/19/2019</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9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11/5/2021</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36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11/5/2021</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11/5/2021</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02"/>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1.2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8/7/2020</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537"/>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3/3/2022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9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3/3/2022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3/3/2022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1/14/2022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1/14/2022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7/1/2022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7/1/2022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6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7/1/2022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7/1/2022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12/9/2022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12/9/2022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3/13/2019</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9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4/2/2019</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6/17/2019</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262"/>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6/10/2020</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333-239082</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10/20/2017</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10/20/2017</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11/27/2018</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6/19/2019</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99.6</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6/10/2020</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333-239082</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10/20/2017</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r>
        <w:trPr>
          <w:trHeight w:val="19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12/23/2022</w:t>
            </w:r>
          </w:p>
        </w:tc>
        <w:tc>
          <w:tcPr>
            <w:tcW w:w="10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8"/>
              </w:rPr>
              <w:t>001-38295</w:t>
            </w:r>
          </w:p>
        </w:tc>
      </w:tr>
    </w:tbl>
    <w:p>
      <w:pPr>
        <w:sectPr>
          <w:pgSz w:w="11900" w:h="16838" w:orient="portrait"/>
          <w:cols w:equalWidth="0" w:num="2">
            <w:col w:w="6800" w:space="440"/>
            <w:col w:w="3440"/>
          </w:cols>
          <w:pgMar w:left="560" w:top="1249" w:right="659" w:bottom="1440" w:gutter="0" w:footer="0" w:header="0"/>
        </w:sectPr>
      </w:pPr>
    </w:p>
    <w:bookmarkStart w:id="77" w:name="page78"/>
    <w:bookmarkEnd w:id="77"/>
    <w:p>
      <w:pPr>
        <w:ind w:left="40"/>
        <w:spacing w:after="0"/>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w:t>
      </w:r>
      <w:r>
        <w:rPr>
          <w:sz w:val="20"/>
          <w:szCs w:val="20"/>
          <w:color w:val="auto"/>
        </w:rPr>
        <w:tab/>
      </w:r>
      <w:hyperlink r:id="rId146">
        <w:r>
          <w:rPr>
            <w:rFonts w:ascii="Times New Roman" w:cs="Times New Roman" w:eastAsia="Times New Roman" w:hAnsi="Times New Roman"/>
            <w:sz w:val="14"/>
            <w:szCs w:val="14"/>
            <w:u w:val="single" w:color="auto"/>
            <w:color w:val="0000FF"/>
          </w:rPr>
          <w:t>Form of Stock Option Agreement under the 2019 Inducement Equity Incentive Plan</w:t>
        </w:r>
      </w:hyperlink>
    </w:p>
    <w:p>
      <w:pPr>
        <w:spacing w:after="0" w:line="23" w:lineRule="exact"/>
        <w:rPr>
          <w:sz w:val="20"/>
          <w:szCs w:val="20"/>
          <w:color w:val="auto"/>
        </w:rPr>
      </w:pPr>
    </w:p>
    <w:p>
      <w:pPr>
        <w:ind w:left="40"/>
        <w:spacing w:after="0"/>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10.13@</w:t>
      </w:r>
      <w:r>
        <w:rPr>
          <w:sz w:val="20"/>
          <w:szCs w:val="20"/>
          <w:color w:val="auto"/>
        </w:rPr>
        <w:tab/>
      </w:r>
      <w:hyperlink r:id="rId147">
        <w:r>
          <w:rPr>
            <w:rFonts w:ascii="Times New Roman" w:cs="Times New Roman" w:eastAsia="Times New Roman" w:hAnsi="Times New Roman"/>
            <w:sz w:val="14"/>
            <w:szCs w:val="14"/>
            <w:u w:val="single" w:color="auto"/>
            <w:color w:val="0000FF"/>
          </w:rPr>
          <w:t>Form of Restricted Stock Agreement under the 2019 Inducement Equity Incentive Plan</w:t>
        </w:r>
      </w:hyperlink>
    </w:p>
    <w:p>
      <w:pPr>
        <w:spacing w:after="0" w:line="19" w:lineRule="exact"/>
        <w:rPr>
          <w:sz w:val="20"/>
          <w:szCs w:val="20"/>
          <w:color w:val="auto"/>
        </w:rPr>
      </w:pPr>
    </w:p>
    <w:p>
      <w:pPr>
        <w:ind w:left="40"/>
        <w:spacing w:after="0"/>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w:t>
      </w:r>
      <w:r>
        <w:rPr>
          <w:sz w:val="20"/>
          <w:szCs w:val="20"/>
          <w:color w:val="auto"/>
        </w:rPr>
        <w:tab/>
      </w:r>
      <w:hyperlink r:id="rId148">
        <w:r>
          <w:rPr>
            <w:rFonts w:ascii="Times New Roman" w:cs="Times New Roman" w:eastAsia="Times New Roman" w:hAnsi="Times New Roman"/>
            <w:sz w:val="14"/>
            <w:szCs w:val="14"/>
            <w:u w:val="single" w:color="auto"/>
            <w:color w:val="0000FF"/>
          </w:rPr>
          <w:t>Form of Restricted Stock Unit Agreement under the 2019 Inducement Equity Incentive Plan</w:t>
        </w:r>
      </w:hyperlink>
    </w:p>
    <w:p>
      <w:pPr>
        <w:spacing w:after="0" w:line="19" w:lineRule="exact"/>
        <w:rPr>
          <w:sz w:val="20"/>
          <w:szCs w:val="20"/>
          <w:color w:val="auto"/>
        </w:rPr>
      </w:pPr>
    </w:p>
    <w:p>
      <w:pPr>
        <w:ind w:left="40"/>
        <w:spacing w:after="0"/>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w:t>
      </w:r>
      <w:r>
        <w:rPr>
          <w:sz w:val="20"/>
          <w:szCs w:val="20"/>
          <w:color w:val="auto"/>
        </w:rPr>
        <w:tab/>
      </w:r>
      <w:hyperlink r:id="rId149">
        <w:r>
          <w:rPr>
            <w:rFonts w:ascii="Times New Roman" w:cs="Times New Roman" w:eastAsia="Times New Roman" w:hAnsi="Times New Roman"/>
            <w:sz w:val="14"/>
            <w:szCs w:val="14"/>
            <w:u w:val="single" w:color="auto"/>
            <w:color w:val="0000FF"/>
          </w:rPr>
          <w:t>Form of Indemnification Agreement (for directors and executive officers)</w:t>
        </w:r>
      </w:hyperlink>
    </w:p>
    <w:p>
      <w:pPr>
        <w:spacing w:after="0" w:line="1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10.16@*</w:t>
      </w:r>
      <w:r>
        <w:rPr>
          <w:sz w:val="20"/>
          <w:szCs w:val="20"/>
          <w:color w:val="auto"/>
        </w:rPr>
        <w:tab/>
      </w:r>
      <w:r>
        <w:rPr>
          <w:rFonts w:ascii="Times New Roman" w:cs="Times New Roman" w:eastAsia="Times New Roman" w:hAnsi="Times New Roman"/>
          <w:sz w:val="14"/>
          <w:szCs w:val="14"/>
          <w:u w:val="single" w:color="auto"/>
          <w:color w:val="0000FF"/>
        </w:rPr>
        <w:t>Director Compensation Policy</w:t>
      </w:r>
    </w:p>
    <w:p>
      <w:pPr>
        <w:spacing w:after="0" w:line="11" w:lineRule="exact"/>
        <w:rPr>
          <w:sz w:val="20"/>
          <w:szCs w:val="20"/>
          <w:color w:val="auto"/>
        </w:rPr>
      </w:pPr>
    </w:p>
    <w:p>
      <w:pPr>
        <w:ind w:left="820" w:right="100" w:hanging="794"/>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10.17@</w:t>
      </w:r>
      <w:r>
        <w:rPr>
          <w:sz w:val="20"/>
          <w:szCs w:val="20"/>
          <w:color w:val="auto"/>
        </w:rPr>
        <w:tab/>
      </w:r>
      <w:hyperlink r:id="rId150">
        <w:r>
          <w:rPr>
            <w:rFonts w:ascii="Times New Roman" w:cs="Times New Roman" w:eastAsia="Times New Roman" w:hAnsi="Times New Roman"/>
            <w:sz w:val="14"/>
            <w:szCs w:val="14"/>
            <w:u w:val="single" w:color="auto"/>
            <w:color w:val="0000FF"/>
          </w:rPr>
          <w:t>Amended and Restated Executive Employment Agreement, dated as of March 13, 2019, by and between</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the Company and Paula Ragan, Ph.D.</w:t>
        </w:r>
      </w:hyperlink>
    </w:p>
    <w:p>
      <w:pPr>
        <w:spacing w:after="0" w:line="1" w:lineRule="exact"/>
        <w:rPr>
          <w:sz w:val="20"/>
          <w:szCs w:val="20"/>
          <w:color w:val="auto"/>
        </w:rPr>
      </w:pPr>
    </w:p>
    <w:p>
      <w:pPr>
        <w:ind w:left="820" w:right="140" w:hanging="794"/>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10.18@</w:t>
      </w:r>
      <w:r>
        <w:rPr>
          <w:sz w:val="20"/>
          <w:szCs w:val="20"/>
          <w:color w:val="auto"/>
        </w:rPr>
        <w:tab/>
      </w:r>
      <w:hyperlink r:id="rId151">
        <w:r>
          <w:rPr>
            <w:rFonts w:ascii="Times New Roman" w:cs="Times New Roman" w:eastAsia="Times New Roman" w:hAnsi="Times New Roman"/>
            <w:sz w:val="14"/>
            <w:szCs w:val="14"/>
            <w:u w:val="single" w:color="auto"/>
            <w:color w:val="0000FF"/>
          </w:rPr>
          <w:t>Amendment to Amended and Restated Executive Employment Agreement, dated as of March 13, 2019,</w:t>
        </w:r>
      </w:hyperlink>
      <w:r>
        <w:rPr>
          <w:rFonts w:ascii="Times New Roman" w:cs="Times New Roman" w:eastAsia="Times New Roman" w:hAnsi="Times New Roman"/>
          <w:sz w:val="14"/>
          <w:szCs w:val="14"/>
          <w:u w:val="single" w:color="auto"/>
          <w:color w:val="0000FF"/>
        </w:rPr>
        <w:t xml:space="preserve"> </w:t>
      </w:r>
      <w:hyperlink r:id="rId151">
        <w:r>
          <w:rPr>
            <w:rFonts w:ascii="Times New Roman" w:cs="Times New Roman" w:eastAsia="Times New Roman" w:hAnsi="Times New Roman"/>
            <w:sz w:val="14"/>
            <w:szCs w:val="14"/>
            <w:u w:val="single" w:color="auto"/>
            <w:color w:val="0000FF"/>
          </w:rPr>
          <w:t>dated February 13, 2020 by and between the Company and Paula Ragan, Ph.D.</w:t>
        </w:r>
      </w:hyperlink>
    </w:p>
    <w:p>
      <w:pPr>
        <w:spacing w:after="0" w:line="1" w:lineRule="exact"/>
        <w:rPr>
          <w:sz w:val="20"/>
          <w:szCs w:val="20"/>
          <w:color w:val="auto"/>
        </w:rPr>
      </w:pPr>
    </w:p>
    <w:p>
      <w:pPr>
        <w:ind w:left="820" w:right="260" w:hanging="794"/>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10.19@</w:t>
      </w:r>
      <w:r>
        <w:rPr>
          <w:sz w:val="20"/>
          <w:szCs w:val="20"/>
          <w:color w:val="auto"/>
        </w:rPr>
        <w:tab/>
      </w:r>
      <w:hyperlink r:id="rId152">
        <w:r>
          <w:rPr>
            <w:rFonts w:ascii="Times New Roman" w:cs="Times New Roman" w:eastAsia="Times New Roman" w:hAnsi="Times New Roman"/>
            <w:sz w:val="14"/>
            <w:szCs w:val="14"/>
            <w:u w:val="single" w:color="auto"/>
            <w:color w:val="0000FF"/>
          </w:rPr>
          <w:t>Second Amended and Restated Executive Employment Agreement, dated as of March 7, 2022 by and</w:t>
        </w:r>
      </w:hyperlink>
      <w:r>
        <w:rPr>
          <w:rFonts w:ascii="Times New Roman" w:cs="Times New Roman" w:eastAsia="Times New Roman" w:hAnsi="Times New Roman"/>
          <w:sz w:val="14"/>
          <w:szCs w:val="14"/>
          <w:u w:val="single" w:color="auto"/>
          <w:color w:val="0000FF"/>
        </w:rPr>
        <w:t xml:space="preserve"> </w:t>
      </w:r>
      <w:hyperlink r:id="rId152">
        <w:r>
          <w:rPr>
            <w:rFonts w:ascii="Times New Roman" w:cs="Times New Roman" w:eastAsia="Times New Roman" w:hAnsi="Times New Roman"/>
            <w:sz w:val="14"/>
            <w:szCs w:val="14"/>
            <w:u w:val="single" w:color="auto"/>
            <w:color w:val="0000FF"/>
          </w:rPr>
          <w:t>between the Company and Adam S. Mostafa.</w:t>
        </w:r>
      </w:hyperlink>
    </w:p>
    <w:p>
      <w:pPr>
        <w:spacing w:after="0" w:line="1" w:lineRule="exact"/>
        <w:rPr>
          <w:sz w:val="20"/>
          <w:szCs w:val="20"/>
          <w:color w:val="auto"/>
        </w:rPr>
      </w:pPr>
    </w:p>
    <w:p>
      <w:pPr>
        <w:ind w:left="820" w:hanging="794"/>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10.20@</w:t>
      </w:r>
      <w:r>
        <w:rPr>
          <w:sz w:val="20"/>
          <w:szCs w:val="20"/>
          <w:color w:val="auto"/>
        </w:rPr>
        <w:tab/>
      </w:r>
      <w:hyperlink r:id="rId153">
        <w:r>
          <w:rPr>
            <w:rFonts w:ascii="Times New Roman" w:cs="Times New Roman" w:eastAsia="Times New Roman" w:hAnsi="Times New Roman"/>
            <w:sz w:val="14"/>
            <w:szCs w:val="14"/>
            <w:u w:val="single" w:color="auto"/>
            <w:color w:val="0000FF"/>
          </w:rPr>
          <w:t>Amended and Restated Executive Employment Agreement, dated as of March 7, 2022 by and between the</w:t>
        </w:r>
      </w:hyperlink>
      <w:r>
        <w:rPr>
          <w:rFonts w:ascii="Times New Roman" w:cs="Times New Roman" w:eastAsia="Times New Roman" w:hAnsi="Times New Roman"/>
          <w:sz w:val="14"/>
          <w:szCs w:val="14"/>
          <w:u w:val="single" w:color="auto"/>
          <w:color w:val="0000FF"/>
        </w:rPr>
        <w:t xml:space="preserve"> </w:t>
      </w:r>
      <w:hyperlink r:id="rId153">
        <w:r>
          <w:rPr>
            <w:rFonts w:ascii="Times New Roman" w:cs="Times New Roman" w:eastAsia="Times New Roman" w:hAnsi="Times New Roman"/>
            <w:sz w:val="14"/>
            <w:szCs w:val="14"/>
            <w:u w:val="single" w:color="auto"/>
            <w:color w:val="0000FF"/>
          </w:rPr>
          <w:t>Company and Mary DiBiase</w:t>
        </w:r>
      </w:hyperlink>
    </w:p>
    <w:p>
      <w:pPr>
        <w:spacing w:after="0" w:line="1" w:lineRule="exact"/>
        <w:rPr>
          <w:sz w:val="20"/>
          <w:szCs w:val="20"/>
          <w:color w:val="auto"/>
        </w:rPr>
      </w:pPr>
    </w:p>
    <w:p>
      <w:pPr>
        <w:ind w:left="820" w:right="180" w:hanging="830"/>
        <w:spacing w:after="0" w:line="205" w:lineRule="auto"/>
        <w:tabs>
          <w:tab w:leader="none" w:pos="800" w:val="left"/>
        </w:tabs>
        <w:rPr>
          <w:sz w:val="20"/>
          <w:szCs w:val="20"/>
          <w:color w:val="auto"/>
        </w:rPr>
      </w:pPr>
      <w:r>
        <w:rPr>
          <w:rFonts w:ascii="Times New Roman" w:cs="Times New Roman" w:eastAsia="Times New Roman" w:hAnsi="Times New Roman"/>
          <w:sz w:val="14"/>
          <w:szCs w:val="14"/>
          <w:color w:val="auto"/>
        </w:rPr>
        <w:t>10.21@*</w:t>
      </w:r>
      <w:r>
        <w:rPr>
          <w:sz w:val="20"/>
          <w:szCs w:val="20"/>
          <w:color w:val="auto"/>
        </w:rPr>
        <w:tab/>
      </w:r>
      <w:r>
        <w:rPr>
          <w:rFonts w:ascii="Times New Roman" w:cs="Times New Roman" w:eastAsia="Times New Roman" w:hAnsi="Times New Roman"/>
          <w:sz w:val="14"/>
          <w:szCs w:val="14"/>
          <w:u w:val="single" w:color="auto"/>
          <w:color w:val="0000FF"/>
        </w:rPr>
        <w:t>Executive Employment Agreement, dated as of November 14, 2022, by and between the Company and Murray Stewart</w:t>
      </w:r>
    </w:p>
    <w:p>
      <w:pPr>
        <w:spacing w:after="0" w:line="1" w:lineRule="exact"/>
        <w:rPr>
          <w:sz w:val="20"/>
          <w:szCs w:val="20"/>
          <w:color w:val="auto"/>
        </w:rPr>
      </w:pPr>
    </w:p>
    <w:p>
      <w:pPr>
        <w:ind w:left="820" w:right="420" w:hanging="765"/>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w:t>
      </w:r>
      <w:r>
        <w:rPr>
          <w:sz w:val="20"/>
          <w:szCs w:val="20"/>
          <w:color w:val="auto"/>
        </w:rPr>
        <w:tab/>
      </w:r>
      <w:hyperlink r:id="rId154">
        <w:r>
          <w:rPr>
            <w:rFonts w:ascii="Times New Roman" w:cs="Times New Roman" w:eastAsia="Times New Roman" w:hAnsi="Times New Roman"/>
            <w:sz w:val="14"/>
            <w:szCs w:val="14"/>
            <w:u w:val="single" w:color="auto"/>
            <w:color w:val="0000FF"/>
          </w:rPr>
          <w:t>License Agreement, dated as of July 10, 2014, by and between X4 Therapeutics, Inc. (formerly X4</w:t>
        </w:r>
      </w:hyperlink>
      <w:r>
        <w:rPr>
          <w:rFonts w:ascii="Times New Roman" w:cs="Times New Roman" w:eastAsia="Times New Roman" w:hAnsi="Times New Roman"/>
          <w:sz w:val="14"/>
          <w:szCs w:val="14"/>
          <w:u w:val="single" w:color="auto"/>
          <w:color w:val="0000FF"/>
        </w:rPr>
        <w:t xml:space="preserve"> </w:t>
      </w:r>
      <w:hyperlink r:id="rId154">
        <w:r>
          <w:rPr>
            <w:rFonts w:ascii="Times New Roman" w:cs="Times New Roman" w:eastAsia="Times New Roman" w:hAnsi="Times New Roman"/>
            <w:sz w:val="14"/>
            <w:szCs w:val="14"/>
            <w:u w:val="single" w:color="auto"/>
            <w:color w:val="0000FF"/>
          </w:rPr>
          <w:t>Pharmaceuticals, LLC) and Genzyme Corp., a Sanofi company.</w:t>
        </w:r>
      </w:hyperlink>
    </w:p>
    <w:p>
      <w:pPr>
        <w:spacing w:after="0" w:line="1" w:lineRule="exact"/>
        <w:rPr>
          <w:sz w:val="20"/>
          <w:szCs w:val="20"/>
          <w:color w:val="auto"/>
        </w:rPr>
      </w:pPr>
    </w:p>
    <w:p>
      <w:pPr>
        <w:ind w:left="820" w:hanging="765"/>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w:t>
      </w:r>
      <w:r>
        <w:rPr>
          <w:sz w:val="20"/>
          <w:szCs w:val="20"/>
          <w:color w:val="auto"/>
        </w:rPr>
        <w:tab/>
      </w:r>
      <w:hyperlink r:id="rId155">
        <w:r>
          <w:rPr>
            <w:rFonts w:ascii="Times New Roman" w:cs="Times New Roman" w:eastAsia="Times New Roman" w:hAnsi="Times New Roman"/>
            <w:sz w:val="14"/>
            <w:szCs w:val="14"/>
            <w:u w:val="single" w:color="auto"/>
            <w:color w:val="0000FF"/>
          </w:rPr>
          <w:t>Amendment No. 1 to License Agreement, dated as of October 23, 2014, by and between X4 Therapeutics,</w:t>
        </w:r>
      </w:hyperlink>
      <w:r>
        <w:rPr>
          <w:rFonts w:ascii="Times New Roman" w:cs="Times New Roman" w:eastAsia="Times New Roman" w:hAnsi="Times New Roman"/>
          <w:sz w:val="14"/>
          <w:szCs w:val="14"/>
          <w:u w:val="single" w:color="auto"/>
          <w:color w:val="0000FF"/>
        </w:rPr>
        <w:t xml:space="preserve"> </w:t>
      </w:r>
      <w:hyperlink r:id="rId155">
        <w:r>
          <w:rPr>
            <w:rFonts w:ascii="Times New Roman" w:cs="Times New Roman" w:eastAsia="Times New Roman" w:hAnsi="Times New Roman"/>
            <w:sz w:val="14"/>
            <w:szCs w:val="14"/>
            <w:u w:val="single" w:color="auto"/>
            <w:color w:val="0000FF"/>
          </w:rPr>
          <w:t>Inc. (formerly X4 Pharmaceuticals, Inc.) and Genzyme Corporation, a Sanofi company.</w:t>
        </w:r>
      </w:hyperlink>
    </w:p>
    <w:p>
      <w:pPr>
        <w:spacing w:after="0" w:line="1" w:lineRule="exact"/>
        <w:rPr>
          <w:sz w:val="20"/>
          <w:szCs w:val="20"/>
          <w:color w:val="auto"/>
        </w:rPr>
      </w:pPr>
    </w:p>
    <w:p>
      <w:pPr>
        <w:ind w:left="820" w:right="80" w:hanging="765"/>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10.24#</w:t>
      </w:r>
      <w:r>
        <w:rPr>
          <w:sz w:val="20"/>
          <w:szCs w:val="20"/>
          <w:color w:val="auto"/>
        </w:rPr>
        <w:tab/>
      </w:r>
      <w:hyperlink r:id="rId156">
        <w:r>
          <w:rPr>
            <w:rFonts w:ascii="Times New Roman" w:cs="Times New Roman" w:eastAsia="Times New Roman" w:hAnsi="Times New Roman"/>
            <w:sz w:val="14"/>
            <w:szCs w:val="14"/>
            <w:u w:val="single" w:color="auto"/>
            <w:color w:val="0000FF"/>
          </w:rPr>
          <w:t>License Agreement, dated as of December 13, 2016, by and between X4 Therapeutics, Inc. (formerly X4</w:t>
        </w:r>
      </w:hyperlink>
      <w:r>
        <w:rPr>
          <w:rFonts w:ascii="Times New Roman" w:cs="Times New Roman" w:eastAsia="Times New Roman" w:hAnsi="Times New Roman"/>
          <w:sz w:val="14"/>
          <w:szCs w:val="14"/>
          <w:u w:val="single" w:color="auto"/>
          <w:color w:val="0000FF"/>
        </w:rPr>
        <w:t xml:space="preserve"> </w:t>
      </w:r>
      <w:hyperlink r:id="rId156">
        <w:r>
          <w:rPr>
            <w:rFonts w:ascii="Times New Roman" w:cs="Times New Roman" w:eastAsia="Times New Roman" w:hAnsi="Times New Roman"/>
            <w:sz w:val="14"/>
            <w:szCs w:val="14"/>
            <w:u w:val="single" w:color="auto"/>
            <w:color w:val="0000FF"/>
          </w:rPr>
          <w:t>Pharmaceuticals, Inc.) and Georgetown University.</w:t>
        </w:r>
      </w:hyperlink>
    </w:p>
    <w:p>
      <w:pPr>
        <w:ind w:left="60"/>
        <w:spacing w:after="0" w:line="188"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10.25#</w:t>
      </w:r>
      <w:r>
        <w:rPr>
          <w:sz w:val="20"/>
          <w:szCs w:val="20"/>
          <w:color w:val="auto"/>
        </w:rPr>
        <w:tab/>
      </w:r>
      <w:hyperlink r:id="rId157">
        <w:r>
          <w:rPr>
            <w:rFonts w:ascii="Times New Roman" w:cs="Times New Roman" w:eastAsia="Times New Roman" w:hAnsi="Times New Roman"/>
            <w:sz w:val="13"/>
            <w:szCs w:val="13"/>
            <w:u w:val="single" w:color="auto"/>
            <w:color w:val="0000FF"/>
          </w:rPr>
          <w:t>Exclusive License Agreement, dated as of December 23, 2016, by and between X4 Therapeutics, Inc.</w:t>
        </w:r>
      </w:hyperlink>
    </w:p>
    <w:p>
      <w:pPr>
        <w:ind w:left="820"/>
        <w:spacing w:after="0" w:line="237" w:lineRule="auto"/>
        <w:rPr>
          <w:rFonts w:ascii="Times New Roman" w:cs="Times New Roman" w:eastAsia="Times New Roman" w:hAnsi="Times New Roman"/>
          <w:sz w:val="14"/>
          <w:szCs w:val="14"/>
          <w:u w:val="single" w:color="auto"/>
          <w:color w:val="0000FF"/>
        </w:rPr>
      </w:pPr>
      <w:hyperlink r:id="rId157">
        <w:r>
          <w:rPr>
            <w:rFonts w:ascii="Times New Roman" w:cs="Times New Roman" w:eastAsia="Times New Roman" w:hAnsi="Times New Roman"/>
            <w:sz w:val="14"/>
            <w:szCs w:val="14"/>
            <w:u w:val="single" w:color="auto"/>
            <w:color w:val="0000FF"/>
          </w:rPr>
          <w:t>(formerly X4 Pharmaceuticals, Inc.) and Beth Israel Deaconess Medical Center.</w:t>
        </w:r>
      </w:hyperlink>
    </w:p>
    <w:p>
      <w:pPr>
        <w:spacing w:after="0" w:line="1" w:lineRule="exact"/>
        <w:rPr>
          <w:sz w:val="20"/>
          <w:szCs w:val="20"/>
          <w:color w:val="auto"/>
        </w:rPr>
      </w:pPr>
    </w:p>
    <w:p>
      <w:pPr>
        <w:ind w:left="820" w:right="240" w:hanging="729"/>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10.26</w:t>
      </w:r>
      <w:r>
        <w:rPr>
          <w:sz w:val="20"/>
          <w:szCs w:val="20"/>
          <w:color w:val="auto"/>
        </w:rPr>
        <w:tab/>
      </w:r>
      <w:hyperlink r:id="rId158">
        <w:r>
          <w:rPr>
            <w:rFonts w:ascii="Times New Roman" w:cs="Times New Roman" w:eastAsia="Times New Roman" w:hAnsi="Times New Roman"/>
            <w:sz w:val="14"/>
            <w:szCs w:val="14"/>
            <w:u w:val="single" w:color="auto"/>
            <w:color w:val="0000FF"/>
          </w:rPr>
          <w:t>License Agreement, dated as of November 13, 2020, by and between X4 Pharmaceuticals Inc. and the</w:t>
        </w:r>
      </w:hyperlink>
      <w:r>
        <w:rPr>
          <w:rFonts w:ascii="Times New Roman" w:cs="Times New Roman" w:eastAsia="Times New Roman" w:hAnsi="Times New Roman"/>
          <w:sz w:val="14"/>
          <w:szCs w:val="14"/>
          <w:u w:val="single" w:color="auto"/>
          <w:color w:val="0000FF"/>
        </w:rPr>
        <w:t xml:space="preserve"> </w:t>
      </w:r>
      <w:hyperlink r:id="rId158">
        <w:r>
          <w:rPr>
            <w:rFonts w:ascii="Times New Roman" w:cs="Times New Roman" w:eastAsia="Times New Roman" w:hAnsi="Times New Roman"/>
            <w:sz w:val="14"/>
            <w:szCs w:val="14"/>
            <w:u w:val="single" w:color="auto"/>
            <w:color w:val="0000FF"/>
          </w:rPr>
          <w:t>Dana Farber Cancer Institute.</w:t>
        </w:r>
      </w:hyperlink>
    </w:p>
    <w:p>
      <w:pPr>
        <w:spacing w:after="0" w:line="1" w:lineRule="exact"/>
        <w:rPr>
          <w:sz w:val="20"/>
          <w:szCs w:val="20"/>
          <w:color w:val="auto"/>
        </w:rPr>
      </w:pPr>
    </w:p>
    <w:p>
      <w:pPr>
        <w:jc w:val="both"/>
        <w:ind w:left="820" w:right="20" w:hanging="804"/>
        <w:spacing w:after="0" w:line="195" w:lineRule="auto"/>
        <w:tabs>
          <w:tab w:leader="none" w:pos="800" w:val="left"/>
        </w:tabs>
        <w:rPr>
          <w:sz w:val="20"/>
          <w:szCs w:val="20"/>
          <w:color w:val="auto"/>
        </w:rPr>
      </w:pPr>
      <w:r>
        <w:rPr>
          <w:rFonts w:ascii="Times New Roman" w:cs="Times New Roman" w:eastAsia="Times New Roman" w:hAnsi="Times New Roman"/>
          <w:sz w:val="14"/>
          <w:szCs w:val="14"/>
          <w:color w:val="auto"/>
        </w:rPr>
        <w:t>10.27*+</w:t>
      </w:r>
      <w:r>
        <w:rPr>
          <w:sz w:val="20"/>
          <w:szCs w:val="20"/>
          <w:color w:val="auto"/>
        </w:rPr>
        <w:tab/>
      </w:r>
      <w:r>
        <w:rPr>
          <w:rFonts w:ascii="Times New Roman" w:cs="Times New Roman" w:eastAsia="Times New Roman" w:hAnsi="Times New Roman"/>
          <w:sz w:val="14"/>
          <w:szCs w:val="14"/>
          <w:u w:val="single" w:color="auto"/>
          <w:color w:val="0000FF"/>
        </w:rPr>
        <w:t>Second Amended and Restated Loan and Security Agreement, dated as of January 6, 2023, by and among X4 Pharmaceuticals, Inc., X4 Therapeutics, Inc., Hercules Capital, Inc. and Hercules Capital Funding IV LLC and Hercules Capital Funding Trust 2022-1</w:t>
      </w:r>
    </w:p>
    <w:p>
      <w:pPr>
        <w:ind w:left="820" w:right="400" w:hanging="729"/>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10.28</w:t>
      </w:r>
      <w:r>
        <w:rPr>
          <w:sz w:val="20"/>
          <w:szCs w:val="20"/>
          <w:color w:val="auto"/>
        </w:rPr>
        <w:tab/>
      </w:r>
      <w:hyperlink r:id="rId159">
        <w:r>
          <w:rPr>
            <w:rFonts w:ascii="Times New Roman" w:cs="Times New Roman" w:eastAsia="Times New Roman" w:hAnsi="Times New Roman"/>
            <w:sz w:val="14"/>
            <w:szCs w:val="14"/>
            <w:u w:val="single" w:color="auto"/>
            <w:color w:val="0000FF"/>
          </w:rPr>
          <w:t>Lease, dated as of November 11, 2019, by and between X4 Pharmaceuticals Inc. and Beacon North</w:t>
        </w:r>
      </w:hyperlink>
      <w:r>
        <w:rPr>
          <w:rFonts w:ascii="Times New Roman" w:cs="Times New Roman" w:eastAsia="Times New Roman" w:hAnsi="Times New Roman"/>
          <w:sz w:val="14"/>
          <w:szCs w:val="14"/>
          <w:u w:val="single" w:color="auto"/>
          <w:color w:val="0000FF"/>
        </w:rPr>
        <w:t xml:space="preserve"> </w:t>
      </w:r>
      <w:hyperlink r:id="rId159">
        <w:r>
          <w:rPr>
            <w:rFonts w:ascii="Times New Roman" w:cs="Times New Roman" w:eastAsia="Times New Roman" w:hAnsi="Times New Roman"/>
            <w:sz w:val="14"/>
            <w:szCs w:val="14"/>
            <w:u w:val="single" w:color="auto"/>
            <w:color w:val="0000FF"/>
          </w:rPr>
          <w:t>Village, LLC.</w:t>
        </w:r>
      </w:hyperlink>
    </w:p>
    <w:p>
      <w:pPr>
        <w:spacing w:after="0" w:line="1" w:lineRule="exact"/>
        <w:rPr>
          <w:sz w:val="20"/>
          <w:szCs w:val="20"/>
          <w:color w:val="auto"/>
        </w:rPr>
      </w:pPr>
    </w:p>
    <w:p>
      <w:pPr>
        <w:jc w:val="both"/>
        <w:ind w:left="820" w:right="260" w:hanging="729"/>
        <w:spacing w:after="0" w:line="19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10.29</w:t>
      </w:r>
      <w:r>
        <w:rPr>
          <w:sz w:val="20"/>
          <w:szCs w:val="20"/>
          <w:color w:val="auto"/>
        </w:rPr>
        <w:tab/>
      </w:r>
      <w:hyperlink r:id="rId160">
        <w:r>
          <w:rPr>
            <w:rFonts w:ascii="Times New Roman" w:cs="Times New Roman" w:eastAsia="Times New Roman" w:hAnsi="Times New Roman"/>
            <w:sz w:val="14"/>
            <w:szCs w:val="14"/>
            <w:u w:val="single" w:color="auto"/>
            <w:color w:val="0000FF"/>
          </w:rPr>
          <w:t>Settlement Agreement, dated as of March 8, 2019, by and among X4 Pharmaceuticals, Inc. (formerly</w:t>
        </w:r>
      </w:hyperlink>
      <w:r>
        <w:rPr>
          <w:rFonts w:ascii="Times New Roman" w:cs="Times New Roman" w:eastAsia="Times New Roman" w:hAnsi="Times New Roman"/>
          <w:sz w:val="14"/>
          <w:szCs w:val="14"/>
          <w:u w:val="single" w:color="auto"/>
          <w:color w:val="0000FF"/>
        </w:rPr>
        <w:t xml:space="preserve"> </w:t>
      </w:r>
      <w:hyperlink r:id="rId160">
        <w:r>
          <w:rPr>
            <w:rFonts w:ascii="Times New Roman" w:cs="Times New Roman" w:eastAsia="Times New Roman" w:hAnsi="Times New Roman"/>
            <w:sz w:val="14"/>
            <w:szCs w:val="14"/>
            <w:u w:val="single" w:color="auto"/>
            <w:color w:val="0000FF"/>
          </w:rPr>
          <w:t>Arsanis, Inc.), Artemis AC Corp., X4 Therapeutics, Inc. (formerly X4 Pharmaceuticals, Inc.), Arsanis</w:t>
        </w:r>
      </w:hyperlink>
      <w:r>
        <w:rPr>
          <w:rFonts w:ascii="Times New Roman" w:cs="Times New Roman" w:eastAsia="Times New Roman" w:hAnsi="Times New Roman"/>
          <w:sz w:val="14"/>
          <w:szCs w:val="14"/>
          <w:u w:val="single" w:color="auto"/>
          <w:color w:val="0000FF"/>
        </w:rPr>
        <w:t xml:space="preserve"> </w:t>
      </w:r>
      <w:hyperlink r:id="rId160">
        <w:r>
          <w:rPr>
            <w:rFonts w:ascii="Times New Roman" w:cs="Times New Roman" w:eastAsia="Times New Roman" w:hAnsi="Times New Roman"/>
            <w:sz w:val="14"/>
            <w:szCs w:val="14"/>
            <w:u w:val="single" w:color="auto"/>
            <w:color w:val="0000FF"/>
          </w:rPr>
          <w:t>Biosciences GmbH and Österreichische Forschungsförderungsgesellschaft GmbH.</w:t>
        </w:r>
      </w:hyperlink>
    </w:p>
    <w:p>
      <w:pPr>
        <w:ind w:left="820" w:right="280" w:hanging="729"/>
        <w:spacing w:after="0" w:line="205" w:lineRule="auto"/>
        <w:tabs>
          <w:tab w:leader="none" w:pos="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10.30</w:t>
      </w:r>
      <w:r>
        <w:rPr>
          <w:sz w:val="20"/>
          <w:szCs w:val="20"/>
          <w:color w:val="auto"/>
        </w:rPr>
        <w:tab/>
      </w:r>
      <w:hyperlink r:id="rId161">
        <w:r>
          <w:rPr>
            <w:rFonts w:ascii="Times New Roman" w:cs="Times New Roman" w:eastAsia="Times New Roman" w:hAnsi="Times New Roman"/>
            <w:sz w:val="14"/>
            <w:szCs w:val="14"/>
            <w:u w:val="single" w:color="auto"/>
            <w:color w:val="0000FF"/>
          </w:rPr>
          <w:t>Master Services Agreement, dated September 10, 2015, by and between X4 Pharmaceuticals Inc. and</w:t>
        </w:r>
      </w:hyperlink>
      <w:r>
        <w:rPr>
          <w:rFonts w:ascii="Times New Roman" w:cs="Times New Roman" w:eastAsia="Times New Roman" w:hAnsi="Times New Roman"/>
          <w:sz w:val="14"/>
          <w:szCs w:val="14"/>
          <w:u w:val="single" w:color="auto"/>
          <w:color w:val="0000FF"/>
        </w:rPr>
        <w:t xml:space="preserve"> </w:t>
      </w:r>
      <w:hyperlink r:id="rId161">
        <w:r>
          <w:rPr>
            <w:rFonts w:ascii="Times New Roman" w:cs="Times New Roman" w:eastAsia="Times New Roman" w:hAnsi="Times New Roman"/>
            <w:sz w:val="14"/>
            <w:szCs w:val="14"/>
            <w:u w:val="single" w:color="auto"/>
            <w:color w:val="0000FF"/>
          </w:rPr>
          <w:t>Mayne Pharma Inc. (formerly known as Metrics, Inc.).</w:t>
        </w:r>
      </w:hyperlink>
    </w:p>
    <w:p>
      <w:pPr>
        <w:spacing w:after="0" w:line="1" w:lineRule="exact"/>
        <w:rPr>
          <w:sz w:val="20"/>
          <w:szCs w:val="20"/>
          <w:color w:val="auto"/>
        </w:rPr>
      </w:pPr>
    </w:p>
    <w:p>
      <w:pPr>
        <w:jc w:val="center"/>
        <w:ind w:right="600"/>
        <w:spacing w:after="0" w:line="212"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10.31      </w:t>
      </w:r>
      <w:hyperlink r:id="rId162">
        <w:r>
          <w:rPr>
            <w:rFonts w:ascii="Times New Roman" w:cs="Times New Roman" w:eastAsia="Times New Roman" w:hAnsi="Times New Roman"/>
            <w:sz w:val="14"/>
            <w:szCs w:val="14"/>
            <w:u w:val="single" w:color="auto"/>
            <w:color w:val="0000FF"/>
          </w:rPr>
          <w:t>Amendment No. 1 to Master Services Agreement, dated August 25, 2017, by and between X4</w:t>
        </w:r>
      </w:hyperlink>
      <w:r>
        <w:rPr>
          <w:rFonts w:ascii="Times New Roman" w:cs="Times New Roman" w:eastAsia="Times New Roman" w:hAnsi="Times New Roman"/>
          <w:sz w:val="14"/>
          <w:szCs w:val="14"/>
          <w:color w:val="auto"/>
        </w:rPr>
        <w:t xml:space="preserve"> </w:t>
      </w:r>
      <w:hyperlink r:id="rId162">
        <w:r>
          <w:rPr>
            <w:rFonts w:ascii="Times New Roman" w:cs="Times New Roman" w:eastAsia="Times New Roman" w:hAnsi="Times New Roman"/>
            <w:sz w:val="14"/>
            <w:szCs w:val="14"/>
            <w:u w:val="single" w:color="auto"/>
            <w:color w:val="0000FF"/>
          </w:rPr>
          <w:t>Pharmaceuticals Inc. and Mayne Pharma Inc. (formerly known as Metrics, Inc.)</w:t>
        </w:r>
      </w:hyperlink>
    </w:p>
    <w:p>
      <w:pPr>
        <w:spacing w:after="0" w:line="200" w:lineRule="exact"/>
        <w:rPr>
          <w:sz w:val="20"/>
          <w:szCs w:val="20"/>
          <w:color w:val="auto"/>
        </w:rPr>
      </w:pPr>
    </w:p>
    <w:p>
      <w:pPr>
        <w:spacing w:after="0" w:line="3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6/17/2019</w:t>
            </w:r>
          </w:p>
        </w:tc>
      </w:tr>
      <w:tr>
        <w:trPr>
          <w:trHeight w:val="180"/>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6/17/2019</w:t>
            </w:r>
          </w:p>
        </w:tc>
      </w:tr>
      <w:tr>
        <w:trPr>
          <w:trHeight w:val="180"/>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6/17/2019</w:t>
            </w:r>
          </w:p>
        </w:tc>
      </w:tr>
      <w:tr>
        <w:trPr>
          <w:trHeight w:val="184"/>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S-1/A</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11/06/2017</w:t>
            </w:r>
          </w:p>
        </w:tc>
      </w:tr>
      <w:tr>
        <w:trPr>
          <w:trHeight w:val="340"/>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3/13/2019</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3/31/2020</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3/17/2022</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3/17/2022</w:t>
            </w:r>
          </w:p>
        </w:tc>
      </w:tr>
      <w:tr>
        <w:trPr>
          <w:trHeight w:val="552"/>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3/13/2019</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8-K/A</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5/13/2019</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8-K/A</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5/13/2019</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8-K/A</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5/13/2019</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3/19/2021</w:t>
            </w:r>
          </w:p>
        </w:tc>
      </w:tr>
      <w:tr>
        <w:trPr>
          <w:trHeight w:val="668"/>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3/12/2020</w:t>
            </w:r>
          </w:p>
        </w:tc>
      </w:tr>
      <w:tr>
        <w:trPr>
          <w:trHeight w:val="276"/>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4/11/2019</w:t>
            </w:r>
          </w:p>
        </w:tc>
      </w:tr>
      <w:tr>
        <w:trPr>
          <w:trHeight w:val="393"/>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3/12/2020</w:t>
            </w:r>
          </w:p>
        </w:tc>
      </w:tr>
      <w:tr>
        <w:trPr>
          <w:trHeight w:val="276"/>
        </w:trPr>
        <w:tc>
          <w:tcPr>
            <w:tcW w:w="5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3/12/2020</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001-38295</w:t>
      </w:r>
    </w:p>
    <w:p>
      <w:pPr>
        <w:sectPr>
          <w:pgSz w:w="11900" w:h="16838" w:orient="portrait"/>
          <w:cols w:equalWidth="0" w:num="3">
            <w:col w:w="6840" w:space="380"/>
            <w:col w:w="2180" w:space="680"/>
            <w:col w:w="600"/>
          </w:cols>
          <w:pgMar w:left="520" w:top="1249" w:right="699" w:bottom="1440" w:gutter="0" w:footer="0" w:header="0"/>
        </w:sectPr>
      </w:pPr>
    </w:p>
    <w:bookmarkStart w:id="78" w:name="page79"/>
    <w:bookmarkEnd w:id="78"/>
    <w:tbl>
      <w:tblPr>
        <w:tblLayout w:type="fixed"/>
        <w:tblInd w:w="220" w:type="dxa"/>
        <w:tblCellMar>
          <w:top w:w="0" w:type="dxa"/>
          <w:left w:w="0" w:type="dxa"/>
          <w:bottom w:w="0" w:type="dxa"/>
          <w:right w:w="0" w:type="dxa"/>
        </w:tblCellMar>
      </w:tblPr>
      <w:tr>
        <w:trPr>
          <w:trHeight w:val="161"/>
        </w:trPr>
        <w:tc>
          <w:tcPr>
            <w:tcW w:w="82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10.32</w:t>
            </w:r>
          </w:p>
        </w:tc>
        <w:tc>
          <w:tcPr>
            <w:tcW w:w="6040" w:type="dxa"/>
            <w:vAlign w:val="bottom"/>
            <w:gridSpan w:val="16"/>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Amendment No. 2 to Master Services Agreement, dated February 28, 2020, by and between X4</w:t>
              </w:r>
            </w:hyperlink>
          </w:p>
        </w:tc>
        <w:tc>
          <w:tcPr>
            <w:tcW w:w="0" w:type="dxa"/>
            <w:vAlign w:val="bottom"/>
          </w:tcPr>
          <w:p>
            <w:pPr>
              <w:spacing w:after="0"/>
              <w:rPr>
                <w:sz w:val="1"/>
                <w:szCs w:val="1"/>
                <w:color w:val="auto"/>
              </w:rPr>
            </w:pPr>
          </w:p>
        </w:tc>
      </w:tr>
      <w:tr>
        <w:trPr>
          <w:trHeight w:val="97"/>
        </w:trPr>
        <w:tc>
          <w:tcPr>
            <w:tcW w:w="82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color w:val="auto"/>
              </w:rPr>
              <w:t>10.33</w:t>
            </w:r>
          </w:p>
        </w:tc>
        <w:tc>
          <w:tcPr>
            <w:tcW w:w="5420" w:type="dxa"/>
            <w:vAlign w:val="bottom"/>
            <w:tcBorders>
              <w:top w:val="single" w:sz="8" w:color="0000FF"/>
            </w:tcBorders>
            <w:gridSpan w:val="10"/>
          </w:tcPr>
          <w:p>
            <w:pPr>
              <w:spacing w:after="0" w:line="97" w:lineRule="exact"/>
              <w:rPr>
                <w:rFonts w:ascii="Times New Roman" w:cs="Times New Roman" w:eastAsia="Times New Roman" w:hAnsi="Times New Roman"/>
                <w:sz w:val="11"/>
                <w:szCs w:val="11"/>
                <w:color w:val="0000FF"/>
              </w:rPr>
            </w:pPr>
            <w:hyperlink r:id="rId164">
              <w:r>
                <w:rPr>
                  <w:rFonts w:ascii="Times New Roman" w:cs="Times New Roman" w:eastAsia="Times New Roman" w:hAnsi="Times New Roman"/>
                  <w:sz w:val="11"/>
                  <w:szCs w:val="11"/>
                  <w:color w:val="0000FF"/>
                </w:rPr>
                <w:t>Pharmaceuticals Inc. and Mayne Pharma Inc.</w:t>
              </w:r>
            </w:hyperlink>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vMerge w:val="continue"/>
          </w:tcPr>
          <w:p>
            <w:pPr>
              <w:spacing w:after="0"/>
              <w:rPr>
                <w:sz w:val="12"/>
                <w:szCs w:val="12"/>
                <w:color w:val="auto"/>
              </w:rPr>
            </w:pPr>
          </w:p>
        </w:tc>
        <w:tc>
          <w:tcPr>
            <w:tcW w:w="2580" w:type="dxa"/>
            <w:vAlign w:val="bottom"/>
            <w:tcBorders>
              <w:top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Master Services Agreement, dated February</w:t>
              </w:r>
            </w:hyperlink>
          </w:p>
        </w:tc>
        <w:tc>
          <w:tcPr>
            <w:tcW w:w="3460" w:type="dxa"/>
            <w:vAlign w:val="bottom"/>
            <w:gridSpan w:val="10"/>
          </w:tcPr>
          <w:p>
            <w:pPr>
              <w:spacing w:after="0" w:line="13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19, 2016, by and between X4 Pharmaceuticals Inc. and</w:t>
              </w:r>
            </w:hyperlink>
          </w:p>
        </w:tc>
        <w:tc>
          <w:tcPr>
            <w:tcW w:w="0" w:type="dxa"/>
            <w:vAlign w:val="bottom"/>
          </w:tcPr>
          <w:p>
            <w:pPr>
              <w:spacing w:after="0"/>
              <w:rPr>
                <w:sz w:val="1"/>
                <w:szCs w:val="1"/>
                <w:color w:val="auto"/>
              </w:rPr>
            </w:pPr>
          </w:p>
        </w:tc>
      </w:tr>
      <w:tr>
        <w:trPr>
          <w:trHeight w:val="97"/>
        </w:trPr>
        <w:tc>
          <w:tcPr>
            <w:tcW w:w="82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color w:val="auto"/>
              </w:rPr>
              <w:t>10.34</w:t>
            </w:r>
          </w:p>
        </w:tc>
        <w:tc>
          <w:tcPr>
            <w:tcW w:w="140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65">
              <w:r>
                <w:rPr>
                  <w:rFonts w:ascii="Times New Roman" w:cs="Times New Roman" w:eastAsia="Times New Roman" w:hAnsi="Times New Roman"/>
                  <w:sz w:val="11"/>
                  <w:szCs w:val="11"/>
                  <w:color w:val="0000FF"/>
                </w:rPr>
                <w:t>Aptuit (Oxford) Limited</w:t>
              </w:r>
            </w:hyperlink>
          </w:p>
        </w:tc>
        <w:tc>
          <w:tcPr>
            <w:tcW w:w="4260" w:type="dxa"/>
            <w:vAlign w:val="bottom"/>
            <w:tcBorders>
              <w:top w:val="single" w:sz="8" w:color="0000FF"/>
            </w:tcBorders>
            <w:gridSpan w:val="8"/>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vMerge w:val="continue"/>
          </w:tcPr>
          <w:p>
            <w:pPr>
              <w:spacing w:after="0"/>
              <w:rPr>
                <w:sz w:val="12"/>
                <w:szCs w:val="12"/>
                <w:color w:val="auto"/>
              </w:rPr>
            </w:pPr>
          </w:p>
        </w:tc>
        <w:tc>
          <w:tcPr>
            <w:tcW w:w="6040" w:type="dxa"/>
            <w:vAlign w:val="bottom"/>
            <w:gridSpan w:val="16"/>
          </w:tcPr>
          <w:p>
            <w:pPr>
              <w:spacing w:after="0" w:line="13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Amendment No. 1 to Master Services Agreement, dated February 19, 2016, by and between X4</w:t>
              </w:r>
            </w:hyperlink>
          </w:p>
        </w:tc>
        <w:tc>
          <w:tcPr>
            <w:tcW w:w="0" w:type="dxa"/>
            <w:vAlign w:val="bottom"/>
          </w:tcPr>
          <w:p>
            <w:pPr>
              <w:spacing w:after="0"/>
              <w:rPr>
                <w:sz w:val="1"/>
                <w:szCs w:val="1"/>
                <w:color w:val="auto"/>
              </w:rPr>
            </w:pPr>
          </w:p>
        </w:tc>
      </w:tr>
      <w:tr>
        <w:trPr>
          <w:trHeight w:val="97"/>
        </w:trPr>
        <w:tc>
          <w:tcPr>
            <w:tcW w:w="820" w:type="dxa"/>
            <w:vAlign w:val="bottom"/>
          </w:tcPr>
          <w:p>
            <w:pPr>
              <w:spacing w:after="0"/>
              <w:rPr>
                <w:sz w:val="8"/>
                <w:szCs w:val="8"/>
                <w:color w:val="auto"/>
              </w:rPr>
            </w:pPr>
          </w:p>
        </w:tc>
        <w:tc>
          <w:tcPr>
            <w:tcW w:w="5420" w:type="dxa"/>
            <w:vAlign w:val="bottom"/>
            <w:tcBorders>
              <w:top w:val="single" w:sz="8" w:color="0000FF"/>
            </w:tcBorders>
            <w:gridSpan w:val="10"/>
          </w:tcPr>
          <w:p>
            <w:pPr>
              <w:spacing w:after="0" w:line="97" w:lineRule="exact"/>
              <w:rPr>
                <w:rFonts w:ascii="Times New Roman" w:cs="Times New Roman" w:eastAsia="Times New Roman" w:hAnsi="Times New Roman"/>
                <w:sz w:val="11"/>
                <w:szCs w:val="11"/>
                <w:color w:val="0000FF"/>
              </w:rPr>
            </w:pPr>
            <w:hyperlink r:id="rId166">
              <w:r>
                <w:rPr>
                  <w:rFonts w:ascii="Times New Roman" w:cs="Times New Roman" w:eastAsia="Times New Roman" w:hAnsi="Times New Roman"/>
                  <w:sz w:val="11"/>
                  <w:szCs w:val="11"/>
                  <w:color w:val="0000FF"/>
                </w:rPr>
                <w:t>Pharmaceuticals Inc. and Aptuit (Oxford) Limited</w:t>
              </w:r>
            </w:hyperlink>
          </w:p>
        </w:tc>
        <w:tc>
          <w:tcPr>
            <w:tcW w:w="3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jc w:val="center"/>
              <w:ind w:right="229"/>
              <w:spacing w:after="0" w:line="139" w:lineRule="exact"/>
              <w:rPr>
                <w:sz w:val="20"/>
                <w:szCs w:val="20"/>
                <w:color w:val="auto"/>
              </w:rPr>
            </w:pPr>
            <w:r>
              <w:rPr>
                <w:rFonts w:ascii="Times New Roman" w:cs="Times New Roman" w:eastAsia="Times New Roman" w:hAnsi="Times New Roman"/>
                <w:sz w:val="14"/>
                <w:szCs w:val="14"/>
                <w:color w:val="auto"/>
              </w:rPr>
              <w:t>10.35</w:t>
            </w:r>
          </w:p>
        </w:tc>
        <w:tc>
          <w:tcPr>
            <w:tcW w:w="2840" w:type="dxa"/>
            <w:vAlign w:val="bottom"/>
            <w:tcBorders>
              <w:top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Amendment No. 2 to Master Services Agreement,</w:t>
              </w:r>
            </w:hyperlink>
          </w:p>
        </w:tc>
        <w:tc>
          <w:tcPr>
            <w:tcW w:w="40" w:type="dxa"/>
            <w:vAlign w:val="bottom"/>
          </w:tcPr>
          <w:p>
            <w:pPr>
              <w:spacing w:after="0"/>
              <w:rPr>
                <w:sz w:val="12"/>
                <w:szCs w:val="12"/>
                <w:color w:val="auto"/>
              </w:rPr>
            </w:pPr>
          </w:p>
        </w:tc>
        <w:tc>
          <w:tcPr>
            <w:tcW w:w="3160" w:type="dxa"/>
            <w:vAlign w:val="bottom"/>
            <w:gridSpan w:val="8"/>
          </w:tcPr>
          <w:p>
            <w:pPr>
              <w:spacing w:after="0" w:line="13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dated February 19, 2021, by and between X4</w:t>
              </w:r>
            </w:hyperlink>
          </w:p>
        </w:tc>
        <w:tc>
          <w:tcPr>
            <w:tcW w:w="0" w:type="dxa"/>
            <w:vAlign w:val="bottom"/>
          </w:tcPr>
          <w:p>
            <w:pPr>
              <w:spacing w:after="0"/>
              <w:rPr>
                <w:sz w:val="1"/>
                <w:szCs w:val="1"/>
                <w:color w:val="auto"/>
              </w:rPr>
            </w:pPr>
          </w:p>
        </w:tc>
      </w:tr>
      <w:tr>
        <w:trPr>
          <w:trHeight w:val="97"/>
        </w:trPr>
        <w:tc>
          <w:tcPr>
            <w:tcW w:w="82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color w:val="auto"/>
                <w:w w:val="98"/>
              </w:rPr>
              <w:t>10.36@</w:t>
            </w:r>
          </w:p>
        </w:tc>
        <w:tc>
          <w:tcPr>
            <w:tcW w:w="288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167">
              <w:r>
                <w:rPr>
                  <w:rFonts w:ascii="Times New Roman" w:cs="Times New Roman" w:eastAsia="Times New Roman" w:hAnsi="Times New Roman"/>
                  <w:sz w:val="11"/>
                  <w:szCs w:val="11"/>
                  <w:color w:val="0000FF"/>
                </w:rPr>
                <w:t>Pharmaceuticals Inc. and Aptuit (Oxford) Limited.</w:t>
              </w:r>
            </w:hyperlink>
          </w:p>
        </w:tc>
        <w:tc>
          <w:tcPr>
            <w:tcW w:w="2540" w:type="dxa"/>
            <w:vAlign w:val="bottom"/>
            <w:tcBorders>
              <w:top w:val="single" w:sz="8" w:color="0000FF"/>
            </w:tcBorders>
            <w:gridSpan w:val="2"/>
          </w:tcPr>
          <w:p>
            <w:pPr>
              <w:spacing w:after="0"/>
              <w:rPr>
                <w:sz w:val="8"/>
                <w:szCs w:val="8"/>
                <w:color w:val="auto"/>
              </w:rPr>
            </w:pPr>
          </w:p>
        </w:tc>
        <w:tc>
          <w:tcPr>
            <w:tcW w:w="3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vMerge w:val="continue"/>
          </w:tcPr>
          <w:p>
            <w:pPr>
              <w:spacing w:after="0"/>
              <w:rPr>
                <w:sz w:val="12"/>
                <w:szCs w:val="12"/>
                <w:color w:val="auto"/>
              </w:rPr>
            </w:pPr>
          </w:p>
        </w:tc>
        <w:tc>
          <w:tcPr>
            <w:tcW w:w="6040" w:type="dxa"/>
            <w:vAlign w:val="bottom"/>
            <w:gridSpan w:val="16"/>
          </w:tcPr>
          <w:p>
            <w:pPr>
              <w:spacing w:after="0" w:line="13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Form of Stock Appreciation Right Agreement under the X4 Pharmaceuticals, Inc. Amended and Restated</w:t>
              </w:r>
            </w:hyperlink>
          </w:p>
        </w:tc>
        <w:tc>
          <w:tcPr>
            <w:tcW w:w="0" w:type="dxa"/>
            <w:vAlign w:val="bottom"/>
          </w:tcPr>
          <w:p>
            <w:pPr>
              <w:spacing w:after="0"/>
              <w:rPr>
                <w:sz w:val="1"/>
                <w:szCs w:val="1"/>
                <w:color w:val="auto"/>
              </w:rPr>
            </w:pPr>
          </w:p>
        </w:tc>
      </w:tr>
      <w:tr>
        <w:trPr>
          <w:trHeight w:val="97"/>
        </w:trPr>
        <w:tc>
          <w:tcPr>
            <w:tcW w:w="82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color w:val="auto"/>
                <w:w w:val="97"/>
              </w:rPr>
              <w:t>21.1</w:t>
            </w:r>
          </w:p>
        </w:tc>
        <w:tc>
          <w:tcPr>
            <w:tcW w:w="5980" w:type="dxa"/>
            <w:vAlign w:val="bottom"/>
            <w:tcBorders>
              <w:top w:val="single" w:sz="8" w:color="0000FF"/>
            </w:tcBorders>
            <w:gridSpan w:val="13"/>
          </w:tcPr>
          <w:p>
            <w:pPr>
              <w:spacing w:after="0" w:line="97" w:lineRule="exact"/>
              <w:rPr>
                <w:rFonts w:ascii="Times New Roman" w:cs="Times New Roman" w:eastAsia="Times New Roman" w:hAnsi="Times New Roman"/>
                <w:sz w:val="11"/>
                <w:szCs w:val="11"/>
                <w:color w:val="0000FF"/>
              </w:rPr>
            </w:pPr>
            <w:hyperlink r:id="rId168">
              <w:r>
                <w:rPr>
                  <w:rFonts w:ascii="Times New Roman" w:cs="Times New Roman" w:eastAsia="Times New Roman" w:hAnsi="Times New Roman"/>
                  <w:sz w:val="11"/>
                  <w:szCs w:val="11"/>
                  <w:color w:val="0000FF"/>
                </w:rPr>
                <w:t>2017 Equity Incentive Plan.</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vMerge w:val="continue"/>
          </w:tcPr>
          <w:p>
            <w:pPr>
              <w:spacing w:after="0"/>
              <w:rPr>
                <w:sz w:val="12"/>
                <w:szCs w:val="12"/>
                <w:color w:val="auto"/>
              </w:rPr>
            </w:pPr>
          </w:p>
        </w:tc>
        <w:tc>
          <w:tcPr>
            <w:tcW w:w="1580" w:type="dxa"/>
            <w:vAlign w:val="bottom"/>
            <w:tcBorders>
              <w:top w:val="single" w:sz="8" w:color="0000FF"/>
            </w:tcBorders>
            <w:gridSpan w:val="4"/>
          </w:tcPr>
          <w:p>
            <w:pPr>
              <w:spacing w:after="0" w:line="13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List of Subsidiaries</w:t>
              </w:r>
            </w:hyperlink>
          </w:p>
        </w:tc>
        <w:tc>
          <w:tcPr>
            <w:tcW w:w="40" w:type="dxa"/>
            <w:vAlign w:val="bottom"/>
          </w:tcPr>
          <w:p>
            <w:pPr>
              <w:spacing w:after="0"/>
              <w:rPr>
                <w:sz w:val="12"/>
                <w:szCs w:val="12"/>
                <w:color w:val="auto"/>
              </w:rPr>
            </w:pPr>
          </w:p>
        </w:tc>
        <w:tc>
          <w:tcPr>
            <w:tcW w:w="3520" w:type="dxa"/>
            <w:vAlign w:val="bottom"/>
            <w:gridSpan w:val="4"/>
          </w:tcPr>
          <w:p>
            <w:pPr>
              <w:spacing w:after="0"/>
              <w:rPr>
                <w:sz w:val="12"/>
                <w:szCs w:val="12"/>
                <w:color w:val="auto"/>
              </w:rPr>
            </w:pPr>
          </w:p>
        </w:tc>
        <w:tc>
          <w:tcPr>
            <w:tcW w:w="600" w:type="dxa"/>
            <w:vAlign w:val="bottom"/>
            <w:gridSpan w:val="3"/>
          </w:tcPr>
          <w:p>
            <w:pPr>
              <w:spacing w:after="0"/>
              <w:rPr>
                <w:sz w:val="12"/>
                <w:szCs w:val="12"/>
                <w:color w:val="auto"/>
              </w:rPr>
            </w:pPr>
          </w:p>
        </w:tc>
        <w:tc>
          <w:tcPr>
            <w:tcW w:w="2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23.1*</w:t>
            </w:r>
          </w:p>
        </w:tc>
        <w:tc>
          <w:tcPr>
            <w:tcW w:w="60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820" w:type="dxa"/>
            <w:vAlign w:val="bottom"/>
            <w:vMerge w:val="restart"/>
          </w:tcPr>
          <w:p>
            <w:pPr>
              <w:jc w:val="center"/>
              <w:ind w:right="229"/>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30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vMerge w:val="continue"/>
          </w:tcPr>
          <w:p>
            <w:pPr>
              <w:spacing w:after="0"/>
              <w:rPr>
                <w:sz w:val="12"/>
                <w:szCs w:val="12"/>
                <w:color w:val="auto"/>
              </w:rPr>
            </w:pPr>
          </w:p>
        </w:tc>
        <w:tc>
          <w:tcPr>
            <w:tcW w:w="6040" w:type="dxa"/>
            <w:vAlign w:val="bottom"/>
            <w:gridSpan w:val="16"/>
          </w:tcPr>
          <w:p>
            <w:pPr>
              <w:spacing w:after="0" w:line="139" w:lineRule="exact"/>
              <w:rPr>
                <w:sz w:val="20"/>
                <w:szCs w:val="20"/>
                <w:color w:val="auto"/>
              </w:rPr>
            </w:pPr>
            <w:r>
              <w:rPr>
                <w:rFonts w:ascii="Times New Roman" w:cs="Times New Roman" w:eastAsia="Times New Roman" w:hAnsi="Times New Roman"/>
                <w:sz w:val="14"/>
                <w:szCs w:val="14"/>
                <w:color w:val="0000FF"/>
              </w:rPr>
              <w:t>Certification of the Chief Executive Officer, as required by Section 302 of the Sarbanes-Oxley Act of</w:t>
            </w:r>
          </w:p>
        </w:tc>
        <w:tc>
          <w:tcPr>
            <w:tcW w:w="0" w:type="dxa"/>
            <w:vAlign w:val="bottom"/>
          </w:tcPr>
          <w:p>
            <w:pPr>
              <w:spacing w:after="0"/>
              <w:rPr>
                <w:sz w:val="1"/>
                <w:szCs w:val="1"/>
                <w:color w:val="auto"/>
              </w:rPr>
            </w:pPr>
          </w:p>
        </w:tc>
      </w:tr>
      <w:tr>
        <w:trPr>
          <w:trHeight w:val="97"/>
        </w:trPr>
        <w:tc>
          <w:tcPr>
            <w:tcW w:w="82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color w:val="auto"/>
              </w:rPr>
              <w:t>31.2*</w:t>
            </w:r>
          </w:p>
        </w:tc>
        <w:tc>
          <w:tcPr>
            <w:tcW w:w="300" w:type="dxa"/>
            <w:vAlign w:val="bottom"/>
            <w:tcBorders>
              <w:top w:val="single" w:sz="8" w:color="0000FF"/>
              <w:bottom w:val="single" w:sz="8" w:color="0000FF"/>
            </w:tcBorders>
          </w:tcPr>
          <w:p>
            <w:pPr>
              <w:spacing w:after="0" w:line="97" w:lineRule="exact"/>
              <w:rPr>
                <w:sz w:val="20"/>
                <w:szCs w:val="20"/>
                <w:color w:val="auto"/>
              </w:rPr>
            </w:pPr>
            <w:r>
              <w:rPr>
                <w:rFonts w:ascii="Times New Roman" w:cs="Times New Roman" w:eastAsia="Times New Roman" w:hAnsi="Times New Roman"/>
                <w:sz w:val="11"/>
                <w:szCs w:val="11"/>
                <w:color w:val="0000FF"/>
              </w:rPr>
              <w:t>2002</w:t>
            </w:r>
          </w:p>
        </w:tc>
        <w:tc>
          <w:tcPr>
            <w:tcW w:w="80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vMerge w:val="continue"/>
          </w:tcPr>
          <w:p>
            <w:pPr>
              <w:spacing w:after="0"/>
              <w:rPr>
                <w:sz w:val="12"/>
                <w:szCs w:val="12"/>
                <w:color w:val="auto"/>
              </w:rPr>
            </w:pPr>
          </w:p>
        </w:tc>
        <w:tc>
          <w:tcPr>
            <w:tcW w:w="6040" w:type="dxa"/>
            <w:vAlign w:val="bottom"/>
            <w:gridSpan w:val="16"/>
          </w:tcPr>
          <w:p>
            <w:pPr>
              <w:spacing w:after="0" w:line="139" w:lineRule="exact"/>
              <w:rPr>
                <w:sz w:val="20"/>
                <w:szCs w:val="20"/>
                <w:color w:val="auto"/>
              </w:rPr>
            </w:pPr>
            <w:r>
              <w:rPr>
                <w:rFonts w:ascii="Times New Roman" w:cs="Times New Roman" w:eastAsia="Times New Roman" w:hAnsi="Times New Roman"/>
                <w:sz w:val="14"/>
                <w:szCs w:val="14"/>
                <w:color w:val="0000FF"/>
              </w:rPr>
              <w:t>Certification of the Chief Financial Officer, as required by Section 302 of the Sarbanes-Oxley Act of 2002</w:t>
            </w:r>
          </w:p>
        </w:tc>
        <w:tc>
          <w:tcPr>
            <w:tcW w:w="0" w:type="dxa"/>
            <w:vAlign w:val="bottom"/>
          </w:tcPr>
          <w:p>
            <w:pPr>
              <w:spacing w:after="0"/>
              <w:rPr>
                <w:sz w:val="1"/>
                <w:szCs w:val="1"/>
                <w:color w:val="auto"/>
              </w:rPr>
            </w:pPr>
          </w:p>
        </w:tc>
      </w:tr>
      <w:tr>
        <w:trPr>
          <w:trHeight w:val="139"/>
        </w:trPr>
        <w:tc>
          <w:tcPr>
            <w:tcW w:w="820" w:type="dxa"/>
            <w:vAlign w:val="bottom"/>
          </w:tcPr>
          <w:p>
            <w:pPr>
              <w:jc w:val="center"/>
              <w:ind w:right="229"/>
              <w:spacing w:after="0" w:line="139" w:lineRule="exact"/>
              <w:rPr>
                <w:sz w:val="20"/>
                <w:szCs w:val="20"/>
                <w:color w:val="auto"/>
              </w:rPr>
            </w:pPr>
            <w:r>
              <w:rPr>
                <w:rFonts w:ascii="Times New Roman" w:cs="Times New Roman" w:eastAsia="Times New Roman" w:hAnsi="Times New Roman"/>
                <w:sz w:val="14"/>
                <w:szCs w:val="14"/>
                <w:color w:val="auto"/>
              </w:rPr>
              <w:t>32.1**</w:t>
            </w:r>
          </w:p>
        </w:tc>
        <w:tc>
          <w:tcPr>
            <w:tcW w:w="6020" w:type="dxa"/>
            <w:vAlign w:val="bottom"/>
            <w:tcBorders>
              <w:top w:val="single" w:sz="8" w:color="0000FF"/>
            </w:tcBorders>
            <w:gridSpan w:val="15"/>
          </w:tcPr>
          <w:p>
            <w:pPr>
              <w:spacing w:after="0" w:line="139" w:lineRule="exact"/>
              <w:rPr>
                <w:sz w:val="20"/>
                <w:szCs w:val="20"/>
                <w:color w:val="auto"/>
              </w:rPr>
            </w:pPr>
            <w:r>
              <w:rPr>
                <w:rFonts w:ascii="Times New Roman" w:cs="Times New Roman" w:eastAsia="Times New Roman" w:hAnsi="Times New Roman"/>
                <w:sz w:val="14"/>
                <w:szCs w:val="14"/>
                <w:color w:val="0000FF"/>
              </w:rPr>
              <w:t>Certification of the Chief Executive Officer and Chief Financial Officer, as required by Section 906 of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82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color w:val="auto"/>
              </w:rPr>
              <w:t>101.INS</w:t>
            </w:r>
          </w:p>
        </w:tc>
        <w:tc>
          <w:tcPr>
            <w:tcW w:w="6000" w:type="dxa"/>
            <w:vAlign w:val="bottom"/>
            <w:tcBorders>
              <w:top w:val="single" w:sz="8" w:color="0000FF"/>
            </w:tcBorders>
            <w:gridSpan w:val="14"/>
          </w:tcPr>
          <w:p>
            <w:pPr>
              <w:spacing w:after="0" w:line="97" w:lineRule="exact"/>
              <w:rPr>
                <w:sz w:val="20"/>
                <w:szCs w:val="20"/>
                <w:color w:val="auto"/>
              </w:rPr>
            </w:pPr>
            <w:r>
              <w:rPr>
                <w:rFonts w:ascii="Times New Roman" w:cs="Times New Roman" w:eastAsia="Times New Roman" w:hAnsi="Times New Roman"/>
                <w:sz w:val="11"/>
                <w:szCs w:val="11"/>
                <w:color w:val="0000FF"/>
              </w:rPr>
              <w:t>Sarbanes-Oxley Act of 2002</w:t>
            </w: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820" w:type="dxa"/>
            <w:vAlign w:val="bottom"/>
            <w:vMerge w:val="continue"/>
          </w:tcPr>
          <w:p>
            <w:pPr>
              <w:spacing w:after="0"/>
              <w:rPr>
                <w:sz w:val="12"/>
                <w:szCs w:val="12"/>
                <w:color w:val="auto"/>
              </w:rPr>
            </w:pPr>
          </w:p>
        </w:tc>
        <w:tc>
          <w:tcPr>
            <w:tcW w:w="1620" w:type="dxa"/>
            <w:vAlign w:val="bottom"/>
            <w:tcBorders>
              <w:top w:val="single" w:sz="8" w:color="0000FF"/>
            </w:tcBorders>
            <w:gridSpan w:val="5"/>
          </w:tcPr>
          <w:p>
            <w:pPr>
              <w:spacing w:after="0" w:line="146" w:lineRule="exact"/>
              <w:rPr>
                <w:sz w:val="20"/>
                <w:szCs w:val="20"/>
                <w:color w:val="auto"/>
              </w:rPr>
            </w:pPr>
            <w:r>
              <w:rPr>
                <w:rFonts w:ascii="Times New Roman" w:cs="Times New Roman" w:eastAsia="Times New Roman" w:hAnsi="Times New Roman"/>
                <w:sz w:val="14"/>
                <w:szCs w:val="14"/>
                <w:color w:val="auto"/>
              </w:rPr>
              <w:t>XBRL Instance Document</w:t>
            </w:r>
          </w:p>
        </w:tc>
        <w:tc>
          <w:tcPr>
            <w:tcW w:w="44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0" w:type="dxa"/>
            <w:vAlign w:val="bottom"/>
          </w:tcPr>
          <w:p>
            <w:pPr>
              <w:jc w:val="center"/>
              <w:ind w:right="229"/>
              <w:spacing w:after="0" w:line="159" w:lineRule="exact"/>
              <w:rPr>
                <w:sz w:val="20"/>
                <w:szCs w:val="20"/>
                <w:color w:val="auto"/>
              </w:rPr>
            </w:pPr>
            <w:r>
              <w:rPr>
                <w:rFonts w:ascii="Times New Roman" w:cs="Times New Roman" w:eastAsia="Times New Roman" w:hAnsi="Times New Roman"/>
                <w:sz w:val="14"/>
                <w:szCs w:val="14"/>
                <w:color w:val="auto"/>
              </w:rPr>
              <w:t>101.SCH</w:t>
            </w:r>
          </w:p>
        </w:tc>
        <w:tc>
          <w:tcPr>
            <w:tcW w:w="6040" w:type="dxa"/>
            <w:vAlign w:val="bottom"/>
            <w:gridSpan w:val="16"/>
          </w:tcPr>
          <w:p>
            <w:pPr>
              <w:spacing w:after="0" w:line="159" w:lineRule="exact"/>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59"/>
        </w:trPr>
        <w:tc>
          <w:tcPr>
            <w:tcW w:w="820" w:type="dxa"/>
            <w:vAlign w:val="bottom"/>
          </w:tcPr>
          <w:p>
            <w:pPr>
              <w:jc w:val="center"/>
              <w:ind w:right="229"/>
              <w:spacing w:after="0" w:line="159" w:lineRule="exact"/>
              <w:rPr>
                <w:sz w:val="20"/>
                <w:szCs w:val="20"/>
                <w:color w:val="auto"/>
              </w:rPr>
            </w:pPr>
            <w:r>
              <w:rPr>
                <w:rFonts w:ascii="Times New Roman" w:cs="Times New Roman" w:eastAsia="Times New Roman" w:hAnsi="Times New Roman"/>
                <w:sz w:val="14"/>
                <w:szCs w:val="14"/>
                <w:color w:val="auto"/>
                <w:w w:val="98"/>
              </w:rPr>
              <w:t>101.CAL</w:t>
            </w:r>
          </w:p>
        </w:tc>
        <w:tc>
          <w:tcPr>
            <w:tcW w:w="6040" w:type="dxa"/>
            <w:vAlign w:val="bottom"/>
            <w:gridSpan w:val="16"/>
          </w:tcPr>
          <w:p>
            <w:pPr>
              <w:spacing w:after="0" w:line="159" w:lineRule="exact"/>
              <w:rPr>
                <w:sz w:val="20"/>
                <w:szCs w:val="20"/>
                <w:color w:val="auto"/>
              </w:rPr>
            </w:pPr>
            <w:r>
              <w:rPr>
                <w:rFonts w:ascii="Times New Roman" w:cs="Times New Roman" w:eastAsia="Times New Roman" w:hAnsi="Times New Roman"/>
                <w:sz w:val="14"/>
                <w:szCs w:val="14"/>
                <w:color w:val="auto"/>
              </w:rPr>
              <w:t>SXRL Taxonomy Extension Calculation Linkbase Document</w:t>
            </w:r>
          </w:p>
        </w:tc>
        <w:tc>
          <w:tcPr>
            <w:tcW w:w="0" w:type="dxa"/>
            <w:vAlign w:val="bottom"/>
          </w:tcPr>
          <w:p>
            <w:pPr>
              <w:spacing w:after="0"/>
              <w:rPr>
                <w:sz w:val="1"/>
                <w:szCs w:val="1"/>
                <w:color w:val="auto"/>
              </w:rPr>
            </w:pPr>
          </w:p>
        </w:tc>
      </w:tr>
      <w:tr>
        <w:trPr>
          <w:trHeight w:val="159"/>
        </w:trPr>
        <w:tc>
          <w:tcPr>
            <w:tcW w:w="820" w:type="dxa"/>
            <w:vAlign w:val="bottom"/>
          </w:tcPr>
          <w:p>
            <w:pPr>
              <w:jc w:val="center"/>
              <w:ind w:right="229"/>
              <w:spacing w:after="0" w:line="159" w:lineRule="exact"/>
              <w:rPr>
                <w:sz w:val="20"/>
                <w:szCs w:val="20"/>
                <w:color w:val="auto"/>
              </w:rPr>
            </w:pPr>
            <w:r>
              <w:rPr>
                <w:rFonts w:ascii="Times New Roman" w:cs="Times New Roman" w:eastAsia="Times New Roman" w:hAnsi="Times New Roman"/>
                <w:sz w:val="14"/>
                <w:szCs w:val="14"/>
                <w:color w:val="auto"/>
              </w:rPr>
              <w:t>101.DEF</w:t>
            </w:r>
          </w:p>
        </w:tc>
        <w:tc>
          <w:tcPr>
            <w:tcW w:w="6040" w:type="dxa"/>
            <w:vAlign w:val="bottom"/>
            <w:gridSpan w:val="16"/>
          </w:tcPr>
          <w:p>
            <w:pPr>
              <w:spacing w:after="0" w:line="159" w:lineRule="exact"/>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59"/>
        </w:trPr>
        <w:tc>
          <w:tcPr>
            <w:tcW w:w="820" w:type="dxa"/>
            <w:vAlign w:val="bottom"/>
          </w:tcPr>
          <w:p>
            <w:pPr>
              <w:jc w:val="center"/>
              <w:ind w:right="229"/>
              <w:spacing w:after="0" w:line="159" w:lineRule="exact"/>
              <w:rPr>
                <w:sz w:val="20"/>
                <w:szCs w:val="20"/>
                <w:color w:val="auto"/>
              </w:rPr>
            </w:pPr>
            <w:r>
              <w:rPr>
                <w:rFonts w:ascii="Times New Roman" w:cs="Times New Roman" w:eastAsia="Times New Roman" w:hAnsi="Times New Roman"/>
                <w:sz w:val="14"/>
                <w:szCs w:val="14"/>
                <w:color w:val="auto"/>
                <w:w w:val="98"/>
              </w:rPr>
              <w:t>101.LAB</w:t>
            </w:r>
          </w:p>
        </w:tc>
        <w:tc>
          <w:tcPr>
            <w:tcW w:w="6040" w:type="dxa"/>
            <w:vAlign w:val="bottom"/>
            <w:gridSpan w:val="16"/>
          </w:tcPr>
          <w:p>
            <w:pPr>
              <w:spacing w:after="0" w:line="159" w:lineRule="exact"/>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159"/>
        </w:trPr>
        <w:tc>
          <w:tcPr>
            <w:tcW w:w="820" w:type="dxa"/>
            <w:vAlign w:val="bottom"/>
          </w:tcPr>
          <w:p>
            <w:pPr>
              <w:jc w:val="center"/>
              <w:ind w:right="229"/>
              <w:spacing w:after="0" w:line="159" w:lineRule="exact"/>
              <w:rPr>
                <w:sz w:val="20"/>
                <w:szCs w:val="20"/>
                <w:color w:val="auto"/>
              </w:rPr>
            </w:pPr>
            <w:r>
              <w:rPr>
                <w:rFonts w:ascii="Times New Roman" w:cs="Times New Roman" w:eastAsia="Times New Roman" w:hAnsi="Times New Roman"/>
                <w:sz w:val="14"/>
                <w:szCs w:val="14"/>
                <w:color w:val="auto"/>
              </w:rPr>
              <w:t>101.PRE</w:t>
            </w:r>
          </w:p>
        </w:tc>
        <w:tc>
          <w:tcPr>
            <w:tcW w:w="6040" w:type="dxa"/>
            <w:vAlign w:val="bottom"/>
            <w:gridSpan w:val="16"/>
          </w:tcPr>
          <w:p>
            <w:pPr>
              <w:spacing w:after="0" w:line="159" w:lineRule="exact"/>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184"/>
        </w:trPr>
        <w:tc>
          <w:tcPr>
            <w:tcW w:w="82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w w:val="95"/>
              </w:rPr>
              <w:t>104</w:t>
            </w:r>
          </w:p>
        </w:tc>
        <w:tc>
          <w:tcPr>
            <w:tcW w:w="60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3/12/2020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001-38295</w:t>
            </w:r>
          </w:p>
        </w:tc>
      </w:tr>
      <w:tr>
        <w:trPr>
          <w:trHeight w:val="276"/>
        </w:trPr>
        <w:tc>
          <w:tcPr>
            <w:tcW w:w="5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10.38</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3/12/2020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001-38295</w:t>
            </w:r>
          </w:p>
        </w:tc>
      </w:tr>
      <w:tr>
        <w:trPr>
          <w:trHeight w:val="276"/>
        </w:trPr>
        <w:tc>
          <w:tcPr>
            <w:tcW w:w="5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3/12/2020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001-38295</w:t>
            </w:r>
          </w:p>
        </w:tc>
      </w:tr>
      <w:tr>
        <w:trPr>
          <w:trHeight w:val="276"/>
        </w:trPr>
        <w:tc>
          <w:tcPr>
            <w:tcW w:w="5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10.48</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3/19/2021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001-38295</w:t>
            </w:r>
          </w:p>
        </w:tc>
      </w:tr>
      <w:tr>
        <w:trPr>
          <w:trHeight w:val="276"/>
        </w:trPr>
        <w:tc>
          <w:tcPr>
            <w:tcW w:w="52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11/9/2022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001-38295</w:t>
            </w:r>
          </w:p>
        </w:tc>
      </w:tr>
      <w:tr>
        <w:trPr>
          <w:trHeight w:val="276"/>
        </w:trPr>
        <w:tc>
          <w:tcPr>
            <w:tcW w:w="5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7"/>
              </w:rPr>
              <w:t>10-K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3/17/2022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001-38295</w:t>
            </w:r>
          </w:p>
        </w:tc>
      </w:tr>
    </w:tbl>
    <w:p>
      <w:pPr>
        <w:spacing w:after="0" w:line="2149" w:lineRule="exact"/>
        <w:rPr>
          <w:sz w:val="20"/>
          <w:szCs w:val="20"/>
          <w:color w:val="auto"/>
        </w:rPr>
      </w:pPr>
    </w:p>
    <w:p>
      <w:pPr>
        <w:sectPr>
          <w:pgSz w:w="11900" w:h="16838" w:orient="portrait"/>
          <w:cols w:equalWidth="0" w:num="2">
            <w:col w:w="7060" w:space="420"/>
            <w:col w:w="3740"/>
          </w:cols>
          <w:pgMar w:left="300" w:top="1241" w:right="379" w:bottom="1440" w:gutter="0" w:footer="0" w:header="0"/>
        </w:sectPr>
      </w:pPr>
    </w:p>
    <w:p>
      <w:pPr>
        <w:ind w:left="520" w:hanging="515"/>
        <w:spacing w:after="0"/>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Filed herewith</w:t>
      </w:r>
    </w:p>
    <w:p>
      <w:pPr>
        <w:spacing w:after="0" w:line="7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and not filed herewith</w:t>
      </w:r>
    </w:p>
    <w:p>
      <w:pPr>
        <w:spacing w:after="0" w:line="94" w:lineRule="exact"/>
        <w:rPr>
          <w:sz w:val="20"/>
          <w:szCs w:val="20"/>
          <w:color w:val="auto"/>
        </w:rPr>
      </w:pPr>
    </w:p>
    <w:p>
      <w:pPr>
        <w:ind w:left="520" w:right="20" w:hanging="515"/>
        <w:spacing w:after="0" w:line="287" w:lineRule="auto"/>
        <w:tabs>
          <w:tab w:leader="none" w:pos="22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this Exhibit were omitted by means of marking such portions with brackets (“[***]”) because the identified confidential portions (i) are not material and (ii) is the type of information that the Registrant treats as private or confidential.</w:t>
      </w:r>
    </w:p>
    <w:p>
      <w:pPr>
        <w:spacing w:after="0" w:line="71" w:lineRule="exact"/>
        <w:rPr>
          <w:sz w:val="20"/>
          <w:szCs w:val="20"/>
          <w:color w:val="auto"/>
        </w:rPr>
      </w:pPr>
    </w:p>
    <w:p>
      <w:pPr>
        <w:ind w:left="520" w:right="80" w:hanging="515"/>
        <w:spacing w:after="0" w:line="287" w:lineRule="auto"/>
        <w:tabs>
          <w:tab w:leader="none" w:pos="13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from this Exhibit pursuant to Item 601(a)(5) of Regulation S-K. The Registrant will furnish a copy of any omitted schedule or exhibit to the U.S. Securities and Exchange Commission or its staff upon request.</w:t>
      </w:r>
    </w:p>
    <w:p>
      <w:pPr>
        <w:spacing w:after="0" w:line="3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w:t>
      </w:r>
    </w:p>
    <w:p>
      <w:pPr>
        <w:spacing w:after="0" w:line="2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1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41" w:right="37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28"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7520" w:type="dxa"/>
            <w:vAlign w:val="bottom"/>
            <w:gridSpan w:val="2"/>
          </w:tcPr>
          <w:p>
            <w:pPr>
              <w:ind w:left="2500"/>
              <w:spacing w:after="0"/>
              <w:rPr>
                <w:sz w:val="20"/>
                <w:szCs w:val="20"/>
                <w:color w:val="auto"/>
              </w:rPr>
            </w:pPr>
            <w:r>
              <w:rPr>
                <w:rFonts w:ascii="Times New Roman" w:cs="Times New Roman" w:eastAsia="Times New Roman" w:hAnsi="Times New Roman"/>
                <w:sz w:val="14"/>
                <w:szCs w:val="14"/>
                <w:b w:val="1"/>
                <w:bCs w:val="1"/>
                <w:color w:val="auto"/>
              </w:rPr>
              <w:t>X4 PHARMACEUTICALS, INC.</w:t>
            </w:r>
          </w:p>
        </w:tc>
      </w:tr>
      <w:tr>
        <w:trPr>
          <w:trHeight w:val="377"/>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Date: March 21, 2023</w:t>
            </w:r>
          </w:p>
        </w:tc>
        <w:tc>
          <w:tcPr>
            <w:tcW w:w="376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Paula Ragan</w:t>
            </w:r>
          </w:p>
        </w:tc>
      </w:tr>
      <w:tr>
        <w:trPr>
          <w:trHeight w:val="187"/>
        </w:trPr>
        <w:tc>
          <w:tcPr>
            <w:tcW w:w="37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Paula Ragan, Ph D.</w:t>
            </w:r>
          </w:p>
        </w:tc>
      </w:tr>
      <w:tr>
        <w:trPr>
          <w:trHeight w:val="202"/>
        </w:trPr>
        <w:tc>
          <w:tcPr>
            <w:tcW w:w="37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00" w:lineRule="exact"/>
        <w:rPr>
          <w:sz w:val="20"/>
          <w:szCs w:val="20"/>
          <w:color w:val="auto"/>
        </w:rPr>
      </w:pPr>
    </w:p>
    <w:p>
      <w:pPr>
        <w:spacing w:after="0" w:line="231"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Paula Ragan</w:t>
            </w:r>
          </w:p>
        </w:tc>
        <w:tc>
          <w:tcPr>
            <w:tcW w:w="60" w:type="dxa"/>
            <w:vAlign w:val="bottom"/>
          </w:tcPr>
          <w:p>
            <w:pPr>
              <w:spacing w:after="0"/>
              <w:rPr>
                <w:sz w:val="24"/>
                <w:szCs w:val="24"/>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9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Paula Ragan, Ph.D.</w:t>
            </w:r>
          </w:p>
        </w:tc>
        <w:tc>
          <w:tcPr>
            <w:tcW w:w="60" w:type="dxa"/>
            <w:vAlign w:val="bottom"/>
          </w:tcPr>
          <w:p>
            <w:pPr>
              <w:spacing w:after="0"/>
              <w:rPr>
                <w:sz w:val="16"/>
                <w:szCs w:val="16"/>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28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Adam S. Mostafa</w:t>
            </w:r>
          </w:p>
        </w:tc>
        <w:tc>
          <w:tcPr>
            <w:tcW w:w="60" w:type="dxa"/>
            <w:vAlign w:val="bottom"/>
          </w:tcPr>
          <w:p>
            <w:pPr>
              <w:spacing w:after="0"/>
              <w:rPr>
                <w:sz w:val="24"/>
                <w:szCs w:val="24"/>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9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Adam S. Mostafa</w:t>
            </w:r>
          </w:p>
        </w:tc>
        <w:tc>
          <w:tcPr>
            <w:tcW w:w="60" w:type="dxa"/>
            <w:vAlign w:val="bottom"/>
          </w:tcPr>
          <w:p>
            <w:pPr>
              <w:spacing w:after="0"/>
              <w:rPr>
                <w:sz w:val="16"/>
                <w:szCs w:val="16"/>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c>
          <w:tcPr>
            <w:tcW w:w="2280" w:type="dxa"/>
            <w:vAlign w:val="bottom"/>
          </w:tcPr>
          <w:p>
            <w:pPr>
              <w:spacing w:after="0"/>
              <w:rPr>
                <w:sz w:val="16"/>
                <w:szCs w:val="16"/>
                <w:color w:val="auto"/>
              </w:rPr>
            </w:pPr>
          </w:p>
        </w:tc>
      </w:tr>
      <w:tr>
        <w:trPr>
          <w:trHeight w:val="33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Michael S. Wyzga</w:t>
            </w:r>
          </w:p>
        </w:tc>
        <w:tc>
          <w:tcPr>
            <w:tcW w:w="60" w:type="dxa"/>
            <w:vAlign w:val="bottom"/>
          </w:tcPr>
          <w:p>
            <w:pPr>
              <w:spacing w:after="0"/>
              <w:rPr>
                <w:sz w:val="24"/>
                <w:szCs w:val="24"/>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S. Wyzga</w:t>
            </w:r>
          </w:p>
        </w:tc>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3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Aliski</w:t>
            </w:r>
          </w:p>
        </w:tc>
        <w:tc>
          <w:tcPr>
            <w:tcW w:w="60" w:type="dxa"/>
            <w:vAlign w:val="bottom"/>
          </w:tcPr>
          <w:p>
            <w:pPr>
              <w:spacing w:after="0"/>
              <w:rPr>
                <w:sz w:val="24"/>
                <w:szCs w:val="24"/>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E. Aliski</w:t>
            </w:r>
          </w:p>
        </w:tc>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3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Gary J. Bridger</w:t>
            </w:r>
          </w:p>
        </w:tc>
        <w:tc>
          <w:tcPr>
            <w:tcW w:w="60" w:type="dxa"/>
            <w:vAlign w:val="bottom"/>
          </w:tcPr>
          <w:p>
            <w:pPr>
              <w:spacing w:after="0"/>
              <w:rPr>
                <w:sz w:val="24"/>
                <w:szCs w:val="24"/>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Gary J. Bridger, Ph.D.</w:t>
            </w:r>
          </w:p>
        </w:tc>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3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Francoise De Craecker</w:t>
            </w:r>
          </w:p>
        </w:tc>
        <w:tc>
          <w:tcPr>
            <w:tcW w:w="60" w:type="dxa"/>
            <w:vAlign w:val="bottom"/>
          </w:tcPr>
          <w:p>
            <w:pPr>
              <w:spacing w:after="0"/>
              <w:rPr>
                <w:sz w:val="24"/>
                <w:szCs w:val="24"/>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Francoise De Craecker</w:t>
            </w:r>
          </w:p>
        </w:tc>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3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Alison Lawton</w:t>
            </w:r>
          </w:p>
        </w:tc>
        <w:tc>
          <w:tcPr>
            <w:tcW w:w="60" w:type="dxa"/>
            <w:vAlign w:val="bottom"/>
          </w:tcPr>
          <w:p>
            <w:pPr>
              <w:spacing w:after="0"/>
              <w:rPr>
                <w:sz w:val="24"/>
                <w:szCs w:val="24"/>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Alison F. Lawton</w:t>
            </w:r>
          </w:p>
        </w:tc>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3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David McGirr</w:t>
            </w:r>
          </w:p>
        </w:tc>
        <w:tc>
          <w:tcPr>
            <w:tcW w:w="60" w:type="dxa"/>
            <w:vAlign w:val="bottom"/>
          </w:tcPr>
          <w:p>
            <w:pPr>
              <w:spacing w:after="0"/>
              <w:rPr>
                <w:sz w:val="24"/>
                <w:szCs w:val="24"/>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McGirr</w:t>
            </w:r>
          </w:p>
        </w:tc>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34"/>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Murray W. Stewart</w:t>
            </w:r>
          </w:p>
        </w:tc>
        <w:tc>
          <w:tcPr>
            <w:tcW w:w="60" w:type="dxa"/>
            <w:vAlign w:val="bottom"/>
          </w:tcPr>
          <w:p>
            <w:pPr>
              <w:spacing w:after="0"/>
              <w:rPr>
                <w:sz w:val="24"/>
                <w:szCs w:val="24"/>
                <w:color w:val="auto"/>
              </w:rPr>
            </w:pPr>
          </w:p>
        </w:tc>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March 21, 2023</w:t>
            </w: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Murray W. Stewart, M.D.</w:t>
            </w:r>
          </w:p>
        </w:tc>
        <w:tc>
          <w:tcPr>
            <w:tcW w:w="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912"/>
        </w:trPr>
        <w:tc>
          <w:tcPr>
            <w:tcW w:w="3420" w:type="dxa"/>
            <w:vAlign w:val="bottom"/>
          </w:tcPr>
          <w:p>
            <w:pPr>
              <w:spacing w:after="0"/>
              <w:rPr>
                <w:sz w:val="24"/>
                <w:szCs w:val="24"/>
                <w:color w:val="auto"/>
              </w:rPr>
            </w:pPr>
          </w:p>
        </w:tc>
        <w:tc>
          <w:tcPr>
            <w:tcW w:w="5460" w:type="dxa"/>
            <w:vAlign w:val="bottom"/>
            <w:gridSpan w:val="2"/>
          </w:tcPr>
          <w:p>
            <w:pPr>
              <w:jc w:val="right"/>
              <w:ind w:right="3089"/>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87"/>
        </w:trPr>
        <w:tc>
          <w:tcPr>
            <w:tcW w:w="3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10420" w:type="dxa"/>
            <w:vAlign w:val="bottom"/>
          </w:tcPr>
          <w:p>
            <w:pPr>
              <w:ind w:left="38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2"/>
        </w:trPr>
        <w:tc>
          <w:tcPr>
            <w:tcW w:w="10420" w:type="dxa"/>
            <w:vAlign w:val="bottom"/>
            <w:vMerge w:val="continue"/>
          </w:tcPr>
          <w:p>
            <w:pPr>
              <w:spacing w:after="0"/>
              <w:rPr>
                <w:sz w:val="14"/>
                <w:szCs w:val="1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F-2</w:t>
            </w:r>
          </w:p>
        </w:tc>
        <w:tc>
          <w:tcPr>
            <w:tcW w:w="0" w:type="dxa"/>
            <w:vAlign w:val="bottom"/>
          </w:tcPr>
          <w:p>
            <w:pPr>
              <w:spacing w:after="0"/>
              <w:rPr>
                <w:sz w:val="1"/>
                <w:szCs w:val="1"/>
                <w:color w:val="auto"/>
              </w:rPr>
            </w:pPr>
          </w:p>
        </w:tc>
      </w:tr>
      <w:tr>
        <w:trPr>
          <w:trHeight w:val="180"/>
        </w:trPr>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0" w:type="dxa"/>
            <w:vAlign w:val="bottom"/>
          </w:tcPr>
          <w:p>
            <w:pPr>
              <w:spacing w:after="0"/>
              <w:rPr>
                <w:sz w:val="1"/>
                <w:szCs w:val="1"/>
                <w:color w:val="auto"/>
              </w:rPr>
            </w:pPr>
          </w:p>
        </w:tc>
      </w:tr>
      <w:tr>
        <w:trPr>
          <w:trHeight w:val="180"/>
        </w:trPr>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F-5</w:t>
            </w:r>
          </w:p>
        </w:tc>
        <w:tc>
          <w:tcPr>
            <w:tcW w:w="0" w:type="dxa"/>
            <w:vAlign w:val="bottom"/>
          </w:tcPr>
          <w:p>
            <w:pPr>
              <w:spacing w:after="0"/>
              <w:rPr>
                <w:sz w:val="1"/>
                <w:szCs w:val="1"/>
                <w:color w:val="auto"/>
              </w:rPr>
            </w:pPr>
          </w:p>
        </w:tc>
      </w:tr>
      <w:tr>
        <w:trPr>
          <w:trHeight w:val="180"/>
        </w:trPr>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Statements of Redeemable Common Stock and Stockholders’ Equity</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F-6</w:t>
            </w:r>
          </w:p>
        </w:tc>
        <w:tc>
          <w:tcPr>
            <w:tcW w:w="0" w:type="dxa"/>
            <w:vAlign w:val="bottom"/>
          </w:tcPr>
          <w:p>
            <w:pPr>
              <w:spacing w:after="0"/>
              <w:rPr>
                <w:sz w:val="1"/>
                <w:szCs w:val="1"/>
                <w:color w:val="auto"/>
              </w:rPr>
            </w:pPr>
          </w:p>
        </w:tc>
      </w:tr>
      <w:tr>
        <w:trPr>
          <w:trHeight w:val="180"/>
        </w:trPr>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F-7</w:t>
            </w:r>
          </w:p>
        </w:tc>
        <w:tc>
          <w:tcPr>
            <w:tcW w:w="0" w:type="dxa"/>
            <w:vAlign w:val="bottom"/>
          </w:tcPr>
          <w:p>
            <w:pPr>
              <w:spacing w:after="0"/>
              <w:rPr>
                <w:sz w:val="1"/>
                <w:szCs w:val="1"/>
                <w:color w:val="auto"/>
              </w:rPr>
            </w:pPr>
          </w:p>
        </w:tc>
      </w:tr>
      <w:tr>
        <w:trPr>
          <w:trHeight w:val="184"/>
        </w:trPr>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F-7</w:t>
            </w:r>
          </w:p>
        </w:tc>
        <w:tc>
          <w:tcPr>
            <w:tcW w:w="0" w:type="dxa"/>
            <w:vAlign w:val="bottom"/>
          </w:tcPr>
          <w:p>
            <w:pPr>
              <w:spacing w:after="0"/>
              <w:rPr>
                <w:sz w:val="1"/>
                <w:szCs w:val="1"/>
                <w:color w:val="auto"/>
              </w:rPr>
            </w:pPr>
          </w:p>
        </w:tc>
      </w:tr>
      <w:tr>
        <w:trPr>
          <w:trHeight w:val="912"/>
        </w:trPr>
        <w:tc>
          <w:tcPr>
            <w:tcW w:w="1042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F-1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4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82" w:name="page83"/>
    <w:bookmarkEnd w:id="82"/>
    <w:p>
      <w:pPr>
        <w:ind w:left="3780"/>
        <w:spacing w:after="0"/>
        <w:rPr>
          <w:sz w:val="20"/>
          <w:szCs w:val="20"/>
          <w:color w:val="auto"/>
        </w:rPr>
      </w:pPr>
      <w:r>
        <w:rPr>
          <w:rFonts w:ascii="Georgia" w:cs="Georgia" w:eastAsia="Georgia" w:hAnsi="Georgia"/>
          <w:sz w:val="14"/>
          <w:szCs w:val="14"/>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X4 Pharmaceuticals,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8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X4 Pharmaceuticals, Inc. and its subsidiaries (the “Company”) as of December 31, 2022 and 2021, and the related consolidated statements of operations and comprehensive loss, of redeemable common stock and stockholders’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Substantial Doubt about the Company’s Ability to Continue as a Going Concern</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8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External Research and Development Costs</w:t>
      </w:r>
    </w:p>
    <w:p>
      <w:pPr>
        <w:spacing w:after="0" w:line="8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As described in Note 2 to the consolidated financial statements, costs associated with internal research and development and external research and development services, including drug development and preclinical studies, are expensed as incurred. The Company’s research and development expense for the year ended December 31, 2022 was $61.1 million, a portion of which relates to external research and development costs. Management recognizes external research and development costs based on an evaluation of the progress to completion of specific tasks using information provided to the Company by its service providers. As disclosed by management, this process involves reviewing open contracts and purchase orders, communicating with applicable personnel to identify services that have been performed, and estimating the level of service performed and the associated cost incurred for the service when the Company has not yet been invoiced or otherwise notified of actual costs.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83" w:name="page84"/>
    <w:bookmarkEnd w:id="83"/>
    <w:p>
      <w:pPr>
        <w:ind w:right="460"/>
        <w:spacing w:after="0" w:line="271" w:lineRule="auto"/>
        <w:rPr>
          <w:sz w:val="20"/>
          <w:szCs w:val="20"/>
          <w:color w:val="auto"/>
        </w:rPr>
      </w:pPr>
      <w:r>
        <w:rPr>
          <w:rFonts w:ascii="Times New Roman" w:cs="Times New Roman" w:eastAsia="Times New Roman" w:hAnsi="Times New Roman"/>
          <w:sz w:val="14"/>
          <w:szCs w:val="14"/>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among others, testing external research and development costs on a sample basis, which included tracing relevant information to the underlying contract research organization and contract manufacturing organization agreements, purchase orders, invoices received, and information received from certain third party service providers, where applicable.</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21, 2023</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51" w:right="439" w:bottom="1440" w:gutter="0" w:footer="0" w:header="0"/>
        </w:sectPr>
      </w:pPr>
    </w:p>
    <w:bookmarkStart w:id="84" w:name="page85"/>
    <w:bookmarkEnd w:id="84"/>
    <w:p>
      <w:pPr>
        <w:ind w:left="4900"/>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121,718</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incentive receivable</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155,586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 w:type="dxa"/>
            <w:vAlign w:val="bottom"/>
          </w:tcPr>
          <w:p>
            <w:pPr>
              <w:spacing w:after="0"/>
              <w:rPr>
                <w:sz w:val="12"/>
                <w:szCs w:val="12"/>
                <w:color w:val="auto"/>
              </w:rPr>
            </w:pPr>
          </w:p>
        </w:tc>
        <w:tc>
          <w:tcPr>
            <w:tcW w:w="8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portion of lease liability</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including accretion, net of discount</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 (Note 4)</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82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 $0.001 par value. 500,000,000 and 125,000,000 shares authorized as of December 31, 2022 and December 31, 2021,</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respectively; 121,667,250 and 28,127,657 shares issued and outstanding as of December 31, 2022 and December 31, 2021, respectively</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450,786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(376,738)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74,051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155,586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20" w:type="dxa"/>
            <w:vAlign w:val="bottom"/>
            <w:tcBorders>
              <w:top w:val="single" w:sz="8" w:color="CCEEFF"/>
              <w:bottom w:val="single" w:sz="8" w:color="CCEEFF"/>
            </w:tcBorders>
            <w:vMerge w:val="restart"/>
          </w:tcPr>
          <w:p>
            <w:pPr>
              <w:ind w:left="308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 w:type="dxa"/>
            <w:vAlign w:val="bottom"/>
          </w:tcPr>
          <w:p>
            <w:pPr>
              <w:spacing w:after="0"/>
              <w:rPr>
                <w:sz w:val="11"/>
                <w:szCs w:val="11"/>
                <w:color w:val="auto"/>
              </w:rPr>
            </w:pPr>
          </w:p>
        </w:tc>
        <w:tc>
          <w:tcPr>
            <w:tcW w:w="8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5"/>
        </w:trPr>
        <w:tc>
          <w:tcPr>
            <w:tcW w:w="80" w:type="dxa"/>
            <w:vAlign w:val="bottom"/>
          </w:tcPr>
          <w:p>
            <w:pPr>
              <w:spacing w:after="0"/>
              <w:rPr>
                <w:sz w:val="24"/>
                <w:szCs w:val="24"/>
                <w:color w:val="auto"/>
              </w:rPr>
            </w:pPr>
          </w:p>
        </w:tc>
        <w:tc>
          <w:tcPr>
            <w:tcW w:w="8220" w:type="dxa"/>
            <w:vAlign w:val="bottom"/>
          </w:tcPr>
          <w:p>
            <w:pPr>
              <w:ind w:left="5460"/>
              <w:spacing w:after="0"/>
              <w:rPr>
                <w:sz w:val="20"/>
                <w:szCs w:val="20"/>
                <w:color w:val="auto"/>
              </w:rPr>
            </w:pPr>
            <w:r>
              <w:rPr>
                <w:rFonts w:ascii="Times New Roman" w:cs="Times New Roman" w:eastAsia="Times New Roman" w:hAnsi="Times New Roman"/>
                <w:sz w:val="14"/>
                <w:szCs w:val="14"/>
                <w:color w:val="auto"/>
              </w:rPr>
              <w:t>F-4</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8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License revenue</w:t>
            </w:r>
          </w:p>
        </w:tc>
        <w:tc>
          <w:tcPr>
            <w:tcW w:w="23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3,000</w:t>
            </w:r>
          </w:p>
        </w:tc>
        <w:tc>
          <w:tcPr>
            <w:tcW w:w="20" w:type="dxa"/>
            <w:vAlign w:val="bottom"/>
          </w:tcPr>
          <w:p>
            <w:pPr>
              <w:spacing w:after="0"/>
              <w:rPr>
                <w:sz w:val="15"/>
                <w:szCs w:val="15"/>
                <w:color w:val="auto"/>
              </w:rPr>
            </w:pPr>
          </w:p>
        </w:tc>
      </w:tr>
      <w:tr>
        <w:trPr>
          <w:trHeight w:val="187"/>
        </w:trPr>
        <w:tc>
          <w:tcPr>
            <w:tcW w:w="4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4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61,058</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41,932</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20,942</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impairment</w:t>
            </w:r>
          </w:p>
        </w:tc>
        <w:tc>
          <w:tcPr>
            <w:tcW w:w="2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sale of nonfinancial assets</w:t>
            </w: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48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87,569</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85,107</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62,874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(87,569)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(59,874)</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and derivative liabilities</w:t>
            </w: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(expense)</w:t>
            </w:r>
          </w:p>
        </w:tc>
        <w:tc>
          <w:tcPr>
            <w:tcW w:w="2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905</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3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(93,839)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(61,983)</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3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(88,696)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(62,131)</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Deemed dividend on Class B Warrant price reset</w:t>
            </w:r>
          </w:p>
        </w:tc>
        <w:tc>
          <w:tcPr>
            <w:tcW w:w="23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23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(96,413)</w:t>
            </w:r>
          </w:p>
        </w:tc>
        <w:tc>
          <w:tcPr>
            <w:tcW w:w="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(102,639)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(62,131)</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stockholders—basic and diluted</w:t>
            </w:r>
          </w:p>
        </w:tc>
        <w:tc>
          <w:tcPr>
            <w:tcW w:w="23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20,077</w:t>
            </w:r>
          </w:p>
        </w:tc>
        <w:tc>
          <w:tcPr>
            <w:tcW w:w="20" w:type="dxa"/>
            <w:vAlign w:val="bottom"/>
          </w:tcPr>
          <w:p>
            <w:pPr>
              <w:spacing w:after="0"/>
              <w:rPr>
                <w:sz w:val="14"/>
                <w:szCs w:val="14"/>
                <w:color w:val="auto"/>
              </w:rPr>
            </w:pPr>
          </w:p>
        </w:tc>
      </w:tr>
      <w:tr>
        <w:trPr>
          <w:trHeight w:val="186"/>
        </w:trPr>
        <w:tc>
          <w:tcPr>
            <w:tcW w:w="40" w:type="dxa"/>
            <w:vAlign w:val="bottom"/>
          </w:tcPr>
          <w:p>
            <w:pPr>
              <w:spacing w:after="0"/>
              <w:rPr>
                <w:sz w:val="16"/>
                <w:szCs w:val="16"/>
                <w:color w:val="auto"/>
              </w:rPr>
            </w:pPr>
          </w:p>
        </w:tc>
        <w:tc>
          <w:tcPr>
            <w:tcW w:w="8540" w:type="dxa"/>
            <w:vAlign w:val="bottom"/>
            <w:gridSpan w:val="5"/>
          </w:tcPr>
          <w:p>
            <w:pPr>
              <w:ind w:left="310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11"/>
        </w:trPr>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20" w:type="dxa"/>
            <w:vAlign w:val="bottom"/>
            <w:gridSpan w:val="2"/>
          </w:tcPr>
          <w:p>
            <w:pPr>
              <w:jc w:val="right"/>
              <w:ind w:right="1709"/>
              <w:spacing w:after="0"/>
              <w:rPr>
                <w:sz w:val="20"/>
                <w:szCs w:val="20"/>
                <w:color w:val="auto"/>
              </w:rPr>
            </w:pPr>
            <w:r>
              <w:rPr>
                <w:rFonts w:ascii="Times New Roman" w:cs="Times New Roman" w:eastAsia="Times New Roman" w:hAnsi="Times New Roman"/>
                <w:sz w:val="14"/>
                <w:szCs w:val="14"/>
                <w:color w:val="auto"/>
              </w:rPr>
              <w:t>F-5</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48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STATEMENTS OF REDEEMABLE COMMON STOCK AND STOCKHOLDERS’ EQUITY</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right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85"/>
        </w:trPr>
        <w:tc>
          <w:tcPr>
            <w:tcW w:w="3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tcBorders>
              <w:right w:val="single" w:sz="8" w:color="auto"/>
            </w:tcBorders>
            <w:gridSpan w:val="3"/>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Pr>
          <w:p>
            <w:pPr>
              <w:spacing w:after="0"/>
              <w:rPr>
                <w:sz w:val="7"/>
                <w:szCs w:val="7"/>
                <w:color w:val="auto"/>
              </w:rPr>
            </w:pPr>
          </w:p>
        </w:tc>
        <w:tc>
          <w:tcPr>
            <w:tcW w:w="15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3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center"/>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53"/>
        </w:trPr>
        <w:tc>
          <w:tcPr>
            <w:tcW w:w="38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jc w:val="center"/>
              <w:ind w:right="160"/>
              <w:spacing w:after="0" w:line="53"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8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8"/>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2019</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16,128,862</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261,367</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(132,044)</w:t>
            </w: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129,220</w:t>
            </w:r>
          </w:p>
        </w:tc>
        <w:tc>
          <w:tcPr>
            <w:tcW w:w="0" w:type="dxa"/>
            <w:vAlign w:val="bottom"/>
          </w:tcPr>
          <w:p>
            <w:pPr>
              <w:spacing w:after="0"/>
              <w:rPr>
                <w:sz w:val="1"/>
                <w:szCs w:val="1"/>
                <w:color w:val="auto"/>
              </w:rPr>
            </w:pPr>
          </w:p>
        </w:tc>
      </w:tr>
      <w:tr>
        <w:trPr>
          <w:trHeight w:val="116"/>
        </w:trPr>
        <w:tc>
          <w:tcPr>
            <w:tcW w:w="3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700" w:type="dxa"/>
            <w:vAlign w:val="bottom"/>
            <w:tcBorders>
              <w:right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17,689</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127</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127</w:t>
            </w:r>
          </w:p>
        </w:tc>
        <w:tc>
          <w:tcPr>
            <w:tcW w:w="0" w:type="dxa"/>
            <w:vAlign w:val="bottom"/>
          </w:tcPr>
          <w:p>
            <w:pPr>
              <w:spacing w:after="0"/>
              <w:rPr>
                <w:sz w:val="1"/>
                <w:szCs w:val="1"/>
                <w:color w:val="auto"/>
              </w:rPr>
            </w:pPr>
          </w:p>
        </w:tc>
      </w:tr>
      <w:tr>
        <w:trPr>
          <w:trHeight w:val="16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5,428</w:t>
            </w:r>
          </w:p>
        </w:tc>
        <w:tc>
          <w:tcPr>
            <w:tcW w:w="0" w:type="dxa"/>
            <w:vAlign w:val="bottom"/>
          </w:tcPr>
          <w:p>
            <w:pPr>
              <w:spacing w:after="0"/>
              <w:rPr>
                <w:sz w:val="1"/>
                <w:szCs w:val="1"/>
                <w:color w:val="auto"/>
              </w:rPr>
            </w:pPr>
          </w:p>
        </w:tc>
      </w:tr>
      <w:tr>
        <w:trPr>
          <w:trHeight w:val="154"/>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Issuance of shares under employee stock purchase plan</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26,643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169</w:t>
            </w:r>
          </w:p>
        </w:tc>
        <w:tc>
          <w:tcPr>
            <w:tcW w:w="0" w:type="dxa"/>
            <w:vAlign w:val="bottom"/>
          </w:tcPr>
          <w:p>
            <w:pPr>
              <w:spacing w:after="0"/>
              <w:rPr>
                <w:sz w:val="1"/>
                <w:szCs w:val="1"/>
                <w:color w:val="auto"/>
              </w:rPr>
            </w:pPr>
          </w:p>
        </w:tc>
      </w:tr>
      <w:tr>
        <w:trPr>
          <w:trHeight w:val="115"/>
        </w:trPr>
        <w:tc>
          <w:tcPr>
            <w:tcW w:w="38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Vesting of restricted stock units, less shares withheld and retired to satisfy tax</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132,537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w:t>
            </w:r>
          </w:p>
        </w:tc>
        <w:tc>
          <w:tcPr>
            <w:tcW w:w="0" w:type="dxa"/>
            <w:vAlign w:val="bottom"/>
          </w:tcPr>
          <w:p>
            <w:pPr>
              <w:spacing w:after="0"/>
              <w:rPr>
                <w:sz w:val="1"/>
                <w:szCs w:val="1"/>
                <w:color w:val="auto"/>
              </w:rPr>
            </w:pPr>
          </w:p>
        </w:tc>
      </w:tr>
      <w:tr>
        <w:trPr>
          <w:trHeight w:val="155"/>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obligations</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Net loss</w:t>
            </w: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(62,131)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(62,131)</w:t>
            </w:r>
          </w:p>
        </w:tc>
        <w:tc>
          <w:tcPr>
            <w:tcW w:w="0" w:type="dxa"/>
            <w:vAlign w:val="bottom"/>
          </w:tcPr>
          <w:p>
            <w:pPr>
              <w:spacing w:after="0"/>
              <w:rPr>
                <w:sz w:val="1"/>
                <w:szCs w:val="1"/>
                <w:color w:val="auto"/>
              </w:rPr>
            </w:pPr>
          </w:p>
        </w:tc>
      </w:tr>
      <w:tr>
        <w:trPr>
          <w:trHeight w:val="15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bottom w:val="single" w:sz="8" w:color="auto"/>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16,305,731</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267,077</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(194,175)</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72,799</w:t>
            </w:r>
          </w:p>
        </w:tc>
        <w:tc>
          <w:tcPr>
            <w:tcW w:w="0" w:type="dxa"/>
            <w:vAlign w:val="bottom"/>
          </w:tcPr>
          <w:p>
            <w:pPr>
              <w:spacing w:after="0"/>
              <w:rPr>
                <w:sz w:val="1"/>
                <w:szCs w:val="1"/>
                <w:color w:val="auto"/>
              </w:rPr>
            </w:pPr>
          </w:p>
        </w:tc>
      </w:tr>
      <w:tr>
        <w:trPr>
          <w:trHeight w:val="90"/>
        </w:trPr>
        <w:tc>
          <w:tcPr>
            <w:tcW w:w="386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Issuance of common stock, redeemable common stock and pre-funded warrants for</w:t>
            </w: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229,885</w:t>
            </w:r>
          </w:p>
        </w:tc>
        <w:tc>
          <w:tcPr>
            <w:tcW w:w="60" w:type="dxa"/>
            <w:vAlign w:val="bottom"/>
          </w:tcPr>
          <w:p>
            <w:pPr>
              <w:spacing w:after="0"/>
              <w:rPr>
                <w:sz w:val="7"/>
                <w:szCs w:val="7"/>
                <w:color w:val="auto"/>
              </w:rPr>
            </w:pPr>
          </w:p>
        </w:tc>
        <w:tc>
          <w:tcPr>
            <w:tcW w:w="700" w:type="dxa"/>
            <w:vAlign w:val="bottom"/>
            <w:tcBorders>
              <w:right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1,875</w:t>
            </w:r>
          </w:p>
        </w:tc>
        <w:tc>
          <w:tcPr>
            <w:tcW w:w="40" w:type="dxa"/>
            <w:vAlign w:val="bottom"/>
          </w:tcPr>
          <w:p>
            <w:pPr>
              <w:spacing w:after="0"/>
              <w:rPr>
                <w:sz w:val="7"/>
                <w:szCs w:val="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9,435,951</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73,858</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73,868</w:t>
            </w:r>
          </w:p>
        </w:tc>
        <w:tc>
          <w:tcPr>
            <w:tcW w:w="0" w:type="dxa"/>
            <w:vAlign w:val="bottom"/>
          </w:tcPr>
          <w:p>
            <w:pPr>
              <w:spacing w:after="0"/>
              <w:rPr>
                <w:sz w:val="1"/>
                <w:szCs w:val="1"/>
                <w:color w:val="auto"/>
              </w:rPr>
            </w:pPr>
          </w:p>
        </w:tc>
      </w:tr>
      <w:tr>
        <w:trPr>
          <w:trHeight w:val="151"/>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the purchase of common stock, net of issuance costs of $4.4 million</w:t>
            </w: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45,816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219</w:t>
            </w:r>
          </w:p>
        </w:tc>
        <w:tc>
          <w:tcPr>
            <w:tcW w:w="0" w:type="dxa"/>
            <w:vAlign w:val="bottom"/>
          </w:tcPr>
          <w:p>
            <w:pPr>
              <w:spacing w:after="0"/>
              <w:rPr>
                <w:sz w:val="1"/>
                <w:szCs w:val="1"/>
                <w:color w:val="auto"/>
              </w:rPr>
            </w:pPr>
          </w:p>
        </w:tc>
      </w:tr>
      <w:tr>
        <w:trPr>
          <w:trHeight w:val="154"/>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5,860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w:t>
            </w:r>
          </w:p>
        </w:tc>
        <w:tc>
          <w:tcPr>
            <w:tcW w:w="0" w:type="dxa"/>
            <w:vAlign w:val="bottom"/>
          </w:tcPr>
          <w:p>
            <w:pPr>
              <w:spacing w:after="0"/>
              <w:rPr>
                <w:sz w:val="1"/>
                <w:szCs w:val="1"/>
                <w:color w:val="auto"/>
              </w:rPr>
            </w:pPr>
          </w:p>
        </w:tc>
      </w:tr>
      <w:tr>
        <w:trPr>
          <w:trHeight w:val="16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pre-funded warrants</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2,129,768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154"/>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204,531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Repurchase and retirement of redeemable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(229,885)</w:t>
            </w: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(1,875)</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4"/>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6,180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6,180</w:t>
            </w:r>
          </w:p>
        </w:tc>
        <w:tc>
          <w:tcPr>
            <w:tcW w:w="0" w:type="dxa"/>
            <w:vAlign w:val="bottom"/>
          </w:tcPr>
          <w:p>
            <w:pPr>
              <w:spacing w:after="0"/>
              <w:rPr>
                <w:sz w:val="1"/>
                <w:szCs w:val="1"/>
                <w:color w:val="auto"/>
              </w:rPr>
            </w:pPr>
          </w:p>
        </w:tc>
      </w:tr>
      <w:tr>
        <w:trPr>
          <w:trHeight w:val="16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68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(88,696)</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(88,696)</w:t>
            </w:r>
          </w:p>
        </w:tc>
        <w:tc>
          <w:tcPr>
            <w:tcW w:w="0" w:type="dxa"/>
            <w:vAlign w:val="bottom"/>
          </w:tcPr>
          <w:p>
            <w:pPr>
              <w:spacing w:after="0"/>
              <w:rPr>
                <w:sz w:val="1"/>
                <w:szCs w:val="1"/>
                <w:color w:val="auto"/>
              </w:rPr>
            </w:pPr>
          </w:p>
        </w:tc>
      </w:tr>
      <w:tr>
        <w:trPr>
          <w:trHeight w:val="145"/>
        </w:trPr>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auto"/>
              <w:right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28,127,657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347,374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(282,871)</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64,412</w:t>
            </w:r>
          </w:p>
        </w:tc>
        <w:tc>
          <w:tcPr>
            <w:tcW w:w="0" w:type="dxa"/>
            <w:vAlign w:val="bottom"/>
          </w:tcPr>
          <w:p>
            <w:pPr>
              <w:spacing w:after="0"/>
              <w:rPr>
                <w:sz w:val="1"/>
                <w:szCs w:val="1"/>
                <w:color w:val="auto"/>
              </w:rPr>
            </w:pPr>
          </w:p>
        </w:tc>
      </w:tr>
      <w:tr>
        <w:trPr>
          <w:trHeight w:val="95"/>
        </w:trPr>
        <w:tc>
          <w:tcPr>
            <w:tcW w:w="386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11"/>
                <w:szCs w:val="11"/>
                <w:color w:val="auto"/>
              </w:rPr>
              <w:t>Issuance of common stock, warrants and prefunded warrants for the purchase of</w:t>
            </w: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92,461,988</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59,270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59,362</w:t>
            </w:r>
          </w:p>
        </w:tc>
        <w:tc>
          <w:tcPr>
            <w:tcW w:w="0" w:type="dxa"/>
            <w:vAlign w:val="bottom"/>
          </w:tcPr>
          <w:p>
            <w:pPr>
              <w:spacing w:after="0"/>
              <w:rPr>
                <w:sz w:val="1"/>
                <w:szCs w:val="1"/>
                <w:color w:val="auto"/>
              </w:rPr>
            </w:pPr>
          </w:p>
        </w:tc>
      </w:tr>
      <w:tr>
        <w:trPr>
          <w:trHeight w:val="155"/>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net of issuance costs of $4.7 million</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86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Vesting of restricted stock units, less shares withheld and retired to satisfy tax</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372,831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(13)</w:t>
            </w:r>
          </w:p>
        </w:tc>
        <w:tc>
          <w:tcPr>
            <w:tcW w:w="0" w:type="dxa"/>
            <w:vAlign w:val="bottom"/>
          </w:tcPr>
          <w:p>
            <w:pPr>
              <w:spacing w:after="0"/>
              <w:rPr>
                <w:sz w:val="1"/>
                <w:szCs w:val="1"/>
                <w:color w:val="auto"/>
              </w:rPr>
            </w:pPr>
          </w:p>
        </w:tc>
      </w:tr>
      <w:tr>
        <w:trPr>
          <w:trHeight w:val="151"/>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obligations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warrants and prefunded warrants</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499,871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54"/>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5,199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5,199</w:t>
            </w:r>
          </w:p>
        </w:tc>
        <w:tc>
          <w:tcPr>
            <w:tcW w:w="0" w:type="dxa"/>
            <w:vAlign w:val="bottom"/>
          </w:tcPr>
          <w:p>
            <w:pPr>
              <w:spacing w:after="0"/>
              <w:rPr>
                <w:sz w:val="1"/>
                <w:szCs w:val="1"/>
                <w:color w:val="auto"/>
              </w:rPr>
            </w:pPr>
          </w:p>
        </w:tc>
      </w:tr>
      <w:tr>
        <w:trPr>
          <w:trHeight w:val="16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shares of common stock under employee stock purchase plan</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204,903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203</w:t>
            </w:r>
          </w:p>
        </w:tc>
        <w:tc>
          <w:tcPr>
            <w:tcW w:w="0" w:type="dxa"/>
            <w:vAlign w:val="bottom"/>
          </w:tcPr>
          <w:p>
            <w:pPr>
              <w:spacing w:after="0"/>
              <w:rPr>
                <w:sz w:val="1"/>
                <w:szCs w:val="1"/>
                <w:color w:val="auto"/>
              </w:rPr>
            </w:pPr>
          </w:p>
        </w:tc>
      </w:tr>
      <w:tr>
        <w:trPr>
          <w:trHeight w:val="154"/>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Reclassification of warrant liability to equity (Note 10)</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38,754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38,754</w:t>
            </w:r>
          </w:p>
        </w:tc>
        <w:tc>
          <w:tcPr>
            <w:tcW w:w="0" w:type="dxa"/>
            <w:vAlign w:val="bottom"/>
          </w:tcPr>
          <w:p>
            <w:pPr>
              <w:spacing w:after="0"/>
              <w:rPr>
                <w:sz w:val="1"/>
                <w:szCs w:val="1"/>
                <w:color w:val="auto"/>
              </w:rPr>
            </w:pPr>
          </w:p>
        </w:tc>
      </w:tr>
      <w:tr>
        <w:trPr>
          <w:trHeight w:val="159"/>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(93,867)</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(93,867)</w:t>
            </w:r>
          </w:p>
        </w:tc>
        <w:tc>
          <w:tcPr>
            <w:tcW w:w="0" w:type="dxa"/>
            <w:vAlign w:val="bottom"/>
          </w:tcPr>
          <w:p>
            <w:pPr>
              <w:spacing w:after="0"/>
              <w:rPr>
                <w:sz w:val="1"/>
                <w:szCs w:val="1"/>
                <w:color w:val="auto"/>
              </w:rPr>
            </w:pPr>
          </w:p>
        </w:tc>
      </w:tr>
      <w:tr>
        <w:trPr>
          <w:trHeight w:val="195"/>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121,667,250</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450,786</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(376,738)</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74,051</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620" w:top="123" w:right="6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3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60"/>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20" w:type="dxa"/>
            <w:vAlign w:val="bottom"/>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(93,867)</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(88,696)</w:t>
            </w:r>
          </w:p>
        </w:tc>
        <w:tc>
          <w:tcPr>
            <w:tcW w:w="8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(62,131)</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6,180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5,428</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 expense</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w:t>
            </w:r>
          </w:p>
        </w:tc>
        <w:tc>
          <w:tcPr>
            <w:tcW w:w="0" w:type="dxa"/>
            <w:vAlign w:val="bottom"/>
          </w:tcPr>
          <w:p>
            <w:pPr>
              <w:spacing w:after="0"/>
              <w:rPr>
                <w:sz w:val="1"/>
                <w:szCs w:val="1"/>
                <w:color w:val="auto"/>
              </w:rPr>
            </w:pPr>
          </w:p>
        </w:tc>
      </w:tr>
      <w:tr>
        <w:trPr>
          <w:trHeight w:val="153"/>
        </w:trPr>
        <w:tc>
          <w:tcPr>
            <w:tcW w:w="7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Goodwill impairment</w:t>
            </w:r>
          </w:p>
        </w:tc>
        <w:tc>
          <w:tcPr>
            <w:tcW w:w="8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9,758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Non-cash lease expense</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0" w:type="dxa"/>
            <w:vAlign w:val="bottom"/>
          </w:tcPr>
          <w:p>
            <w:pPr>
              <w:spacing w:after="0"/>
              <w:rPr>
                <w:sz w:val="1"/>
                <w:szCs w:val="1"/>
                <w:color w:val="auto"/>
              </w:rPr>
            </w:pPr>
          </w:p>
        </w:tc>
      </w:tr>
      <w:tr>
        <w:trPr>
          <w:trHeight w:val="153"/>
        </w:trPr>
        <w:tc>
          <w:tcPr>
            <w:tcW w:w="7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Accretion of debt discount</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0" w:type="dxa"/>
            <w:vAlign w:val="bottom"/>
          </w:tcPr>
          <w:p>
            <w:pPr>
              <w:spacing w:after="0"/>
              <w:rPr>
                <w:sz w:val="1"/>
                <w:szCs w:val="1"/>
                <w:color w:val="auto"/>
              </w:rPr>
            </w:pPr>
          </w:p>
        </w:tc>
      </w:tr>
      <w:tr>
        <w:trPr>
          <w:trHeight w:val="153"/>
        </w:trPr>
        <w:tc>
          <w:tcPr>
            <w:tcW w:w="7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fair value of warrant and derivative liability</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0" w:type="dxa"/>
            <w:vAlign w:val="bottom"/>
          </w:tcPr>
          <w:p>
            <w:pPr>
              <w:spacing w:after="0"/>
              <w:rPr>
                <w:sz w:val="1"/>
                <w:szCs w:val="1"/>
                <w:color w:val="auto"/>
              </w:rPr>
            </w:pPr>
          </w:p>
        </w:tc>
      </w:tr>
      <w:tr>
        <w:trPr>
          <w:trHeight w:val="153"/>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Prepaid expenses, other current assets and research and development incentive receivable</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(1,655)</w:t>
            </w:r>
          </w:p>
        </w:tc>
        <w:tc>
          <w:tcPr>
            <w:tcW w:w="0" w:type="dxa"/>
            <w:vAlign w:val="bottom"/>
          </w:tcPr>
          <w:p>
            <w:pPr>
              <w:spacing w:after="0"/>
              <w:rPr>
                <w:sz w:val="1"/>
                <w:szCs w:val="1"/>
                <w:color w:val="auto"/>
              </w:rPr>
            </w:pPr>
          </w:p>
        </w:tc>
      </w:tr>
      <w:tr>
        <w:trPr>
          <w:trHeight w:val="153"/>
        </w:trPr>
        <w:tc>
          <w:tcPr>
            <w:tcW w:w="7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payable</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Accrued expenses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0" w:type="dxa"/>
            <w:vAlign w:val="bottom"/>
          </w:tcPr>
          <w:p>
            <w:pPr>
              <w:spacing w:after="0"/>
              <w:rPr>
                <w:sz w:val="1"/>
                <w:szCs w:val="1"/>
                <w:color w:val="auto"/>
              </w:rPr>
            </w:pPr>
          </w:p>
        </w:tc>
      </w:tr>
      <w:tr>
        <w:trPr>
          <w:trHeight w:val="153"/>
        </w:trPr>
        <w:tc>
          <w:tcPr>
            <w:tcW w:w="7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lease right-of-use asset, net of non-cash portion</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(3,889)</w:t>
            </w:r>
          </w:p>
        </w:tc>
        <w:tc>
          <w:tcPr>
            <w:tcW w:w="0" w:type="dxa"/>
            <w:vAlign w:val="bottom"/>
          </w:tcPr>
          <w:p>
            <w:pPr>
              <w:spacing w:after="0"/>
              <w:rPr>
                <w:sz w:val="1"/>
                <w:szCs w:val="1"/>
                <w:color w:val="auto"/>
              </w:rPr>
            </w:pPr>
          </w:p>
        </w:tc>
      </w:tr>
      <w:tr>
        <w:trPr>
          <w:trHeight w:val="144"/>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8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(77,102)</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(70,905)</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(58,818)</w:t>
            </w:r>
          </w:p>
        </w:tc>
        <w:tc>
          <w:tcPr>
            <w:tcW w:w="0" w:type="dxa"/>
            <w:vAlign w:val="bottom"/>
          </w:tcPr>
          <w:p>
            <w:pPr>
              <w:spacing w:after="0"/>
              <w:rPr>
                <w:sz w:val="1"/>
                <w:szCs w:val="1"/>
                <w:color w:val="auto"/>
              </w:rPr>
            </w:pPr>
          </w:p>
        </w:tc>
      </w:tr>
      <w:tr>
        <w:trPr>
          <w:trHeight w:val="14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Purchase of property, equipment and intangible assets</w:t>
            </w: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0" w:type="dxa"/>
            <w:vAlign w:val="bottom"/>
          </w:tcPr>
          <w:p>
            <w:pPr>
              <w:spacing w:after="0"/>
              <w:rPr>
                <w:sz w:val="1"/>
                <w:szCs w:val="1"/>
                <w:color w:val="auto"/>
              </w:rPr>
            </w:pPr>
          </w:p>
        </w:tc>
      </w:tr>
      <w:tr>
        <w:trPr>
          <w:trHeight w:val="156"/>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0" w:type="dxa"/>
            <w:vAlign w:val="bottom"/>
          </w:tcPr>
          <w:p>
            <w:pPr>
              <w:spacing w:after="0"/>
              <w:rPr>
                <w:sz w:val="1"/>
                <w:szCs w:val="1"/>
                <w:color w:val="auto"/>
              </w:rPr>
            </w:pPr>
          </w:p>
        </w:tc>
      </w:tr>
      <w:tr>
        <w:trPr>
          <w:trHeight w:val="134"/>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exercise of stock options, warrants and pre-funded warrants and issuance of shares of common stock under employee stock purchase plans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0" w:type="dxa"/>
            <w:vAlign w:val="bottom"/>
          </w:tcPr>
          <w:p>
            <w:pPr>
              <w:spacing w:after="0"/>
              <w:rPr>
                <w:sz w:val="1"/>
                <w:szCs w:val="1"/>
                <w:color w:val="auto"/>
              </w:rPr>
            </w:pPr>
          </w:p>
        </w:tc>
      </w:tr>
      <w:tr>
        <w:trPr>
          <w:trHeight w:val="110"/>
        </w:trPr>
        <w:tc>
          <w:tcPr>
            <w:tcW w:w="7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costs related to sale of warrants for the purchase of common stock accounted for as a liability and amendments to loan and security agreement (Note</w:t>
            </w:r>
          </w:p>
        </w:tc>
        <w:tc>
          <w:tcPr>
            <w:tcW w:w="8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(4,802)</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7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10)</w:t>
            </w:r>
          </w:p>
        </w:tc>
        <w:tc>
          <w:tcPr>
            <w:tcW w:w="8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taxes paid related to net share settlement of vested restricted stock units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0" w:type="dxa"/>
            <w:vAlign w:val="bottom"/>
          </w:tcPr>
          <w:p>
            <w:pPr>
              <w:spacing w:after="0"/>
              <w:rPr>
                <w:sz w:val="1"/>
                <w:szCs w:val="1"/>
                <w:color w:val="auto"/>
              </w:rPr>
            </w:pPr>
          </w:p>
        </w:tc>
      </w:tr>
      <w:tr>
        <w:trPr>
          <w:trHeight w:val="153"/>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borrowings under loan and security agreements, net of issuance costs</w:t>
            </w:r>
          </w:p>
        </w:tc>
        <w:tc>
          <w:tcPr>
            <w:tcW w:w="8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12,388</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Repayments of borrowings under loan and security agreement</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sale of shares of common stock, redeemable common stock, warrants and pre-funded warrants, net of issuance costs</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75,985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Settlement and retirement of redeemable common stock</w:t>
            </w:r>
          </w:p>
        </w:tc>
        <w:tc>
          <w:tcPr>
            <w:tcW w:w="8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8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117,230</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74,245</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12,394</w:t>
            </w:r>
          </w:p>
        </w:tc>
        <w:tc>
          <w:tcPr>
            <w:tcW w:w="0" w:type="dxa"/>
            <w:vAlign w:val="bottom"/>
          </w:tcPr>
          <w:p>
            <w:pPr>
              <w:spacing w:after="0"/>
              <w:rPr>
                <w:sz w:val="1"/>
                <w:szCs w:val="1"/>
                <w:color w:val="auto"/>
              </w:rPr>
            </w:pPr>
          </w:p>
        </w:tc>
      </w:tr>
      <w:tr>
        <w:trPr>
          <w:trHeight w:val="15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0" w:type="dxa"/>
            <w:vAlign w:val="bottom"/>
          </w:tcPr>
          <w:p>
            <w:pPr>
              <w:spacing w:after="0"/>
              <w:rPr>
                <w:sz w:val="1"/>
                <w:szCs w:val="1"/>
                <w:color w:val="auto"/>
              </w:rPr>
            </w:pPr>
          </w:p>
        </w:tc>
      </w:tr>
      <w:tr>
        <w:trPr>
          <w:trHeight w:val="144"/>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(decrease) in cash, cash equivalents and restricted cash</w:t>
            </w: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2,406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(47,384)</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8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83,108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80,702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128,086</w:t>
            </w:r>
          </w:p>
        </w:tc>
        <w:tc>
          <w:tcPr>
            <w:tcW w:w="0" w:type="dxa"/>
            <w:vAlign w:val="bottom"/>
          </w:tcPr>
          <w:p>
            <w:pPr>
              <w:spacing w:after="0"/>
              <w:rPr>
                <w:sz w:val="1"/>
                <w:szCs w:val="1"/>
                <w:color w:val="auto"/>
              </w:rPr>
            </w:pPr>
          </w:p>
        </w:tc>
      </w:tr>
      <w:tr>
        <w:trPr>
          <w:trHeight w:val="144"/>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end of period</w:t>
            </w:r>
          </w:p>
        </w:tc>
        <w:tc>
          <w:tcPr>
            <w:tcW w:w="82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123,028</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83,108</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80,702</w:t>
            </w:r>
          </w:p>
        </w:tc>
        <w:tc>
          <w:tcPr>
            <w:tcW w:w="0" w:type="dxa"/>
            <w:vAlign w:val="bottom"/>
          </w:tcPr>
          <w:p>
            <w:pPr>
              <w:spacing w:after="0"/>
              <w:rPr>
                <w:sz w:val="1"/>
                <w:szCs w:val="1"/>
                <w:color w:val="auto"/>
              </w:rPr>
            </w:pPr>
          </w:p>
        </w:tc>
      </w:tr>
      <w:tr>
        <w:trPr>
          <w:trHeight w:val="30"/>
        </w:trPr>
        <w:tc>
          <w:tcPr>
            <w:tcW w:w="7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interest</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2,099</w:t>
            </w:r>
          </w:p>
        </w:tc>
        <w:tc>
          <w:tcPr>
            <w:tcW w:w="0" w:type="dxa"/>
            <w:vAlign w:val="bottom"/>
          </w:tcPr>
          <w:p>
            <w:pPr>
              <w:spacing w:after="0"/>
              <w:rPr>
                <w:sz w:val="1"/>
                <w:szCs w:val="1"/>
                <w:color w:val="auto"/>
              </w:rPr>
            </w:pPr>
          </w:p>
        </w:tc>
      </w:tr>
      <w:tr>
        <w:trPr>
          <w:trHeight w:val="154"/>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and financing activities:</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Acquisition of property, equipment and right-of-use assets included in accounts payable</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153"/>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Acquisition of right-of-use assets financed by lease liabilities</w:t>
            </w:r>
          </w:p>
        </w:tc>
        <w:tc>
          <w:tcPr>
            <w:tcW w:w="820" w:type="dxa"/>
            <w:vAlign w:val="bottom"/>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1,343</w:t>
            </w:r>
          </w:p>
        </w:tc>
        <w:tc>
          <w:tcPr>
            <w:tcW w:w="8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costs not yet paid</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NATURE OF THE BUSINESS AND BASIS OF PRESENTATION</w:t>
      </w:r>
    </w:p>
    <w:p>
      <w:pPr>
        <w:spacing w:after="0" w:line="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X4 Pharmaceuticals, Inc. (together with its subsidiaries, the “Company”) is a late-stage clinical biopharmaceutical company focused on the research and development of novel therapeutics for the treatment of rare diseases and those with limited treatment options, with a focus on conditions resulting from dysfunction of the immune system. The Company’s lead clinical candidate is mavorixafor, a small molecule antagonist of the chemokine receptor CXCR4 that is being developed as an oral, once-daily therapy. Due to its ability to increase the mobilization of mature, functional white blood cells from the bone marrow into the bloodstream, the Company believes that mavorixafor has the potential to provide therapeutic benefit across a variety of chronic neutropenic disorders, including WHIM (Warts, Hypogammaglobulinemia, Infections, and Myelokathexis (“WHIM”)) syndrome, a rare, primary immunodeficiency, and certain cancers. Following announcement of positive top-line data from the Company’s global, pivotal, Phase 3 clinical trial in November 2022, the Company is preparing a United States regulatory submission seeking approval of oral, once-daily mavorixafor in the treatment of people aged 12 years and older with WHIM syndrome. The Company is also currently enrolling participants in a Phase 2 clinical trial in people with certain chronic neutropenic disorders following positive results from a Phase 1b clinical trial evaluating mavorixafor in people with idiopathic, cyclic, or congenital neutropenia that were presented in the third quarter of 2022. The Company also conducted a proof-of-concept Phase 1b clinical trial of mavorixafor in combination with ibrutinib in people with Waldenström’s macroglobulinemia (“Waldenström’s”), a rare form of lymphoma. The Company reported positive results from the Waldenström’s Phase 1b trial in the third quarter of 2022 and concluded the trial in December 2022.</w:t>
      </w:r>
    </w:p>
    <w:p>
      <w:pPr>
        <w:spacing w:after="0" w:line="1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Any further studies of mavorixafor in Waldenström’s or other oncology indication will be subject to completing a strategic partnership. The Company is headquartered in Boston, Massachusetts and has an additional facility in Vienna, Austria.</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Going Concern Assessment—</w:t>
      </w:r>
      <w:r>
        <w:rPr>
          <w:rFonts w:ascii="Times New Roman" w:cs="Times New Roman" w:eastAsia="Times New Roman" w:hAnsi="Times New Roman"/>
          <w:sz w:val="14"/>
          <w:szCs w:val="14"/>
          <w:color w:val="auto"/>
        </w:rPr>
        <w:t>In accordance with Accounting Standards Update (“ASU”) No. 2014-15,</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Disclosure of Uncertainties about an Entity’s Ability to Continue as a Going Concern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 xml:space="preserve">(Subtopic 205-40) </w:t>
      </w:r>
      <w:r>
        <w:rPr>
          <w:rFonts w:ascii="Times New Roman" w:cs="Times New Roman" w:eastAsia="Times New Roman" w:hAnsi="Times New Roman"/>
          <w:sz w:val="14"/>
          <w:szCs w:val="14"/>
          <w:color w:val="auto"/>
        </w:rPr>
        <w:t>(“ASU 2014-15”), the Company has evaluated whether there are certain conditions and events, considered in the aggregate, that raise substantial doubt about the Company’s 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continue as a going concern within one year after the date that the consolidated financial statements are issued. Since inception, the Company has incurred significant operating losses and negative cash flows from operations. As of December 31, 2022, the Company had $121.7 million of cash and cash equivalents, an accumulated deficit of $376.7 million, net loss of $93.9 million and net cash used in operating activities of $77.1 million. The Company has a covenant under its Second Amended and Restated Loan and Security Agreement with Hercules Capital Inc. that requires that the Company maintain a minimum level of cash of $20 million, subject to reduction to $10 million upon the achievement of operational milestones. Based on its current cash flow projections and with no additional funding, the Company believes it will not be able to maintain the minimum cash required to satisfy this covenant beginning in the first quarter of 2024. In such event, the lender could require the repayment of all outstanding debt.</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Management has assessed the Company’s ability to continue as a going concern in accordance with the requirements of ASC 205-40 and determined that the Company’s accumulated deficit, history of losses and future expected losses met the ASC 205-40 standard for raising substantial doubt about the Company’s ability to continue as a going concern. The Company does not have adequate financial resources to fund its forecasted operating costs for at least one year after the date that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67"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To finance its operations, the Company will need to raise additional capital, which cannot be assured. Unless and until the Company reach’s profitability in the future, it will require additional capital to fund our operations, which could be raised through a combination of equity offerings, debt financings, other third-party funding, marketing and distribution arrangements and other collaborations and strategic alliances. If the Company is unable to obtain funding, it could be forced to delay, reduce or eliminate some or all of its research and development programs, product portfolio expansion or commercialization efforts, which would adversely affect its business prospects, or it may be unable to continue operations.</w:t>
      </w:r>
    </w:p>
    <w:p>
      <w:pPr>
        <w:spacing w:after="0" w:line="160"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Principles of Consolidation— </w:t>
      </w:r>
      <w:r>
        <w:rPr>
          <w:rFonts w:ascii="Times New Roman" w:cs="Times New Roman" w:eastAsia="Times New Roman" w:hAnsi="Times New Roman"/>
          <w:sz w:val="14"/>
          <w:szCs w:val="14"/>
          <w:color w:val="auto"/>
        </w:rPr>
        <w:t>The consolidated financial statements include the accounts of the Company and its wholly-owned subsidiaries, including X4 Pharmaceuticals (Austria) GmbH (“X4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Austria”), which is incorporated in Vienna, Austria, and X4 Therapeutics, Inc. All significant intercompany accounts and transactions have been eliminated.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SUMMARY OF SIGNIFICANT ACCOUNTING POLICIES</w:t>
      </w:r>
    </w:p>
    <w:p>
      <w:pPr>
        <w:spacing w:after="0" w:line="2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the Company’s consolidated financial statements in conformity with U.S. Generally Accepted Accounting Principles (“GAAP”) requires management to make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research and development expenses, the impairment or lack of impairment of long-lived assets including operating lease right-of-use assets and goodwill, and the constraint of variable consideration from contracts with customers.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As of the date of issuance of these consolidated financial statements, the Company is not aware of any specific event or circumstance that would require the Company to update its estimates, assumptions and judgments or revise the carrying value of its assets or liabilities. Actual results could differ from those estimates, and any such differences may be material to the Company’s consolidated financial statements.</w:t>
      </w:r>
    </w:p>
    <w:p>
      <w:pPr>
        <w:spacing w:after="0" w:line="14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Foreign Currency and Currency Translation— </w:t>
      </w:r>
      <w:r>
        <w:rPr>
          <w:rFonts w:ascii="Times New Roman" w:cs="Times New Roman" w:eastAsia="Times New Roman" w:hAnsi="Times New Roman"/>
          <w:sz w:val="14"/>
          <w:szCs w:val="14"/>
          <w:color w:val="auto"/>
        </w:rPr>
        <w:t>The functional currency of the Company’s foreign subsidiary, X4 Austria, is the U.S. dollar. However, X4 Austria maintains its books and records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Euro. As a result, monetary assets and liabilities are translated at current exchange rates as of the balance sheet date, non-monetary assets such as property and equipment and equity accounts are translated at historic rates and income and expenses are translated at the average exchanges rates for the period. Adjustments resulting from the translation of the consolidated financial statements of X4 Austria into U.S. dollars are included in the determination of net loss and are recorded in other expense, net.</w:t>
      </w:r>
    </w:p>
    <w:p>
      <w:pPr>
        <w:spacing w:after="0" w:line="13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Concentrations of Credit Risk and Significant Suppliers— </w:t>
      </w:r>
      <w:r>
        <w:rPr>
          <w:rFonts w:ascii="Times New Roman" w:cs="Times New Roman" w:eastAsia="Times New Roman" w:hAnsi="Times New Roman"/>
          <w:sz w:val="14"/>
          <w:szCs w:val="14"/>
          <w:color w:val="auto"/>
        </w:rPr>
        <w:t>Financial instruments that potentially subject the Company to concentrations of credit risk consist principally of cash and cash equivalents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research and development incentive receivables. The Company generally maintains cash balances in various operating accounts at financial institutions that management believes to be of high credit quality in amounts that may exceed federally insured limits. The Company has not experienced losses related to its cash and cash equivalents.</w:t>
      </w:r>
    </w:p>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is dependent on third-party manufacturers to supply products for research and development activities in its programs.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these manufacturing services or in the supply of active pharmaceutical ingredients and formulated drugs.</w:t>
      </w:r>
    </w:p>
    <w:p>
      <w:pPr>
        <w:spacing w:after="0" w:line="13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The Company considers all highly liquid investments with maturities of three months or less at the date of purchase to be cash equivalents. Cash equivalents consisted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money market funds as of December 31, 2022 and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29845</wp:posOffset>
            </wp:positionV>
            <wp:extent cx="213550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5">
                      <a:extLst>
                        <a:ext uri="{28A0092B-C50C-407E-A947-70E740481C1C}"/>
                      </a:extLst>
                    </a:blip>
                    <a:srcRect/>
                    <a:stretch>
                      <a:fillRect/>
                    </a:stretch>
                  </pic:blipFill>
                  <pic:spPr bwMode="auto">
                    <a:xfrm>
                      <a:off x="0" y="0"/>
                      <a:ext cx="2135505" cy="698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140" w:type="dxa"/>
            <w:vAlign w:val="bottom"/>
          </w:tcPr>
          <w:p>
            <w:pPr>
              <w:spacing w:after="0"/>
              <w:rPr>
                <w:sz w:val="18"/>
                <w:szCs w:val="18"/>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244"/>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Letter of credit security: Waltham lease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54"/>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Letter of credit security: Vienna Austria lease</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Letter of credit security: Boston lease</w:t>
            </w: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included in prepaid expenses and 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connection with the Company’s lease agreement for its facilities in Massachusetts and Austria, the Company maintains letters of credit, which are secured by restricted cash, for the benefit of the respective landlord. In accordance with the Company’s Second Amended and Restated Loan and Security Agreement with Hercules and as further described in Note 7, the Company at all times must maintain a minimum level of cash of $20.0 million in an account or accounts in which Hercules has a first priority security interest as further described in Note 7.</w:t>
      </w:r>
    </w:p>
    <w:p>
      <w:pPr>
        <w:spacing w:after="0" w:line="13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to the sum to the total of amounts shown in the Company’s consolidated statements of cash flows as of December 31, 2022, 2021 and 2020:</w:t>
      </w:r>
    </w:p>
    <w:tbl>
      <w:tblPr>
        <w:tblLayout w:type="fixed"/>
        <w:tblInd w:w="0" w:type="dxa"/>
        <w:tblCellMar>
          <w:top w:w="0" w:type="dxa"/>
          <w:left w:w="0" w:type="dxa"/>
          <w:bottom w:w="0" w:type="dxa"/>
          <w:right w:w="0" w:type="dxa"/>
        </w:tblCellMar>
      </w:tblPr>
      <w:tr>
        <w:trPr>
          <w:trHeight w:val="100"/>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334"/>
              <w:spacing w:after="0" w:line="10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vMerge w:val="restart"/>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334"/>
              <w:spacing w:after="0" w:line="10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656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78,708</w:t>
            </w:r>
          </w:p>
        </w:tc>
        <w:tc>
          <w:tcPr>
            <w:tcW w:w="0" w:type="dxa"/>
            <w:vAlign w:val="bottom"/>
          </w:tcPr>
          <w:p>
            <w:pPr>
              <w:spacing w:after="0"/>
              <w:rPr>
                <w:sz w:val="1"/>
                <w:szCs w:val="1"/>
                <w:color w:val="auto"/>
              </w:rPr>
            </w:pPr>
          </w:p>
        </w:tc>
      </w:tr>
      <w:tr>
        <w:trPr>
          <w:trHeight w:val="18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current (included within prepaid expenses and other current assets)</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non-current (included within other assets)</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0" w:type="dxa"/>
            <w:vAlign w:val="bottom"/>
          </w:tcPr>
          <w:p>
            <w:pPr>
              <w:spacing w:after="0"/>
              <w:rPr>
                <w:sz w:val="1"/>
                <w:szCs w:val="1"/>
                <w:color w:val="auto"/>
              </w:rPr>
            </w:pPr>
          </w:p>
        </w:tc>
      </w:tr>
      <w:tr>
        <w:trPr>
          <w:trHeight w:val="17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123,028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83,108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80,702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and Equipment— </w:t>
      </w:r>
      <w:r>
        <w:rPr>
          <w:rFonts w:ascii="Times New Roman" w:cs="Times New Roman" w:eastAsia="Times New Roman" w:hAnsi="Times New Roman"/>
          <w:sz w:val="14"/>
          <w:szCs w:val="14"/>
          <w:color w:val="auto"/>
        </w:rPr>
        <w:t>Property and equipment are stated at cost less accumulated depreciation and amortization. Depreciation and amortization expense is recognized using the straight-line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method over the estimated useful life of each asset,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Borders>
              <w:bottom w:val="single" w:sz="8" w:color="CCEEFF"/>
            </w:tcBorders>
          </w:tcPr>
          <w:p>
            <w:pPr>
              <w:spacing w:after="0"/>
              <w:rPr>
                <w:sz w:val="13"/>
                <w:szCs w:val="13"/>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furniture</w:t>
            </w: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to 7 years</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to 10 years</w:t>
            </w:r>
          </w:p>
        </w:tc>
      </w:tr>
      <w:tr>
        <w:trPr>
          <w:trHeight w:val="18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Shorter of lease term or 10 years</w:t>
            </w:r>
          </w:p>
        </w:tc>
      </w:tr>
    </w:tbl>
    <w:p>
      <w:pPr>
        <w:spacing w:after="0" w:line="21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statements of operations and comprehensive loss in the period of disposal. Costs for capital assets not yet placed into service are capitalized as construction-in-progress and depreciated once placed into service.</w:t>
      </w:r>
    </w:p>
    <w:p>
      <w:pPr>
        <w:spacing w:after="0" w:line="13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Right-of-Use Assets and Leases— </w:t>
      </w:r>
      <w:r>
        <w:rPr>
          <w:rFonts w:ascii="Times New Roman" w:cs="Times New Roman" w:eastAsia="Times New Roman" w:hAnsi="Times New Roman"/>
          <w:sz w:val="14"/>
          <w:szCs w:val="14"/>
          <w:color w:val="auto"/>
        </w:rPr>
        <w:t>The Company accounts for leases in accordance with Accounting Standards Codification (“ASC”), Topic 842,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(“ASC 842”). Under ASC 842, 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inception of an arrangement, the Company determines whether the arrangement contains a lease based on the unique facts and circumstances present. Leases with a non-cancellable term greater than one year are recognized on the balance sheet as right-of-use assets with associated current and non-current lease liabilities. The Company has elected not to recognize on the balance sheet leases with terms of one year or less. Options to renew a lease are not included in the Company’s initial lease term assessment unless there is reasonable certainty that the Company will renew the lease. If a lease is cancellable without penalty, the Company excludes from the lease term periods following the cancellation notice period unless it is reasonably certain that the Company will not cancel the lease.</w:t>
      </w:r>
    </w:p>
    <w:p>
      <w:pPr>
        <w:spacing w:after="0" w:line="14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Operating lease liabilities and their corresponding right-of-use assets are recorded based on the present value of lease payments over the expected remaining lease term. Certain adjustments to the right-of-use operating asset may be required for items such as incentives received or accrued rent. The interest rate implicit in lease contracts is typically not readily determinable. As a result, the Company utilizes its incremental borrowing rates, which are the rates it incurs to borrow on a collateralized basis over a similar term an amount equal to the lease payments in a similar economic environment. The Company has referenced the effective rate of its Hercules borrowings, as adjusted for differences terms, to determine calculate its incremental borrowing rate for each of its operating leases.</w:t>
      </w:r>
    </w:p>
    <w:p>
      <w:pPr>
        <w:spacing w:after="0" w:line="14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accordance with the guidance in ASC 842, components of a lease are split into lease components and non-lease components. A policy election is available pursuant to which an entity may elect to not separate lease and non-lease components. Rather, each lease component and the related non-lease components are accounted for together as a single component. For new and amended leases beginning in 2019 and after, the Company has elected to account for the lease and non-lease components as a combined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 component for its office and laboratory building leases.</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Impairment of Long-Lived Assets— </w:t>
      </w:r>
      <w:r>
        <w:rPr>
          <w:rFonts w:ascii="Times New Roman" w:cs="Times New Roman" w:eastAsia="Times New Roman" w:hAnsi="Times New Roman"/>
          <w:sz w:val="14"/>
          <w:szCs w:val="14"/>
          <w:color w:val="auto"/>
        </w:rPr>
        <w:t>Long-lived assets consist of property and equipment and operating lease right-of-use assets. Long-lived assets to be held and used are tested for recoverability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in loss from operations when estimated undiscounted future cash flows expected to result from the use of an asset group are less than its carrying amount. The impairment loss would be based on the excess of the carrying value of the impaired asset group over its fair value. To date, the Company has not recorded any material impairment losses on long-lived assets.</w:t>
      </w:r>
    </w:p>
    <w:p>
      <w:pPr>
        <w:spacing w:after="0" w:line="14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w:t>
      </w:r>
      <w:r>
        <w:rPr>
          <w:rFonts w:ascii="Times New Roman" w:cs="Times New Roman" w:eastAsia="Times New Roman" w:hAnsi="Times New Roman"/>
          <w:sz w:val="14"/>
          <w:szCs w:val="14"/>
          <w:color w:val="auto"/>
        </w:rPr>
        <w:t>Business combinations are accounted for under the acquisition method. The total purchase price of an acquisition is allocated to the underlying identifiable net assets, based on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respective estimated fair values as of the acquisition date. Determining the fair value of assets acquired and liabilities assumed requires management’s judgment and often involves the use of significant estimates and assumptions, including assumptions with respect to future cash inflows and outflows, probabilities of success, discount rates, and asset lives, among other items. Assets acquired and liabilities assumed are recorded at their estimated fair values. The excess of the purchase price over the estimated fair values of the net assets acquired is recorded as goodwill.</w:t>
      </w:r>
    </w:p>
    <w:p>
      <w:pPr>
        <w:spacing w:after="0" w:line="140"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Goodwill is tested quantitatively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a significant decline in the price of the Company’s common stock, or unanticipated competition.</w:t>
      </w:r>
    </w:p>
    <w:p>
      <w:pPr>
        <w:spacing w:after="0" w:line="13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has determined that it operates in a single operating segment and has a single reporting unit. To perform its quantitative test, the Company compares the fair value of the reporting unit to its carrying value. If the fair value of the reporting unit exceeds the carrying value of its net assets, goodwill is not impaired, and no further testing is required. If the fair value of the reporting unit is less than the carrying value, the Company measures the amount of impairment loss, if any, as the excess of the carrying value over the fair value of the reporting unit. See Note 4 for more information on the Company’s goodwill impairment tests as of December 31, 2022 and 2021.</w:t>
      </w:r>
    </w:p>
    <w:p>
      <w:pPr>
        <w:spacing w:after="0" w:line="1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Measurements— </w:t>
      </w:r>
      <w:r>
        <w:rPr>
          <w:rFonts w:ascii="Times New Roman" w:cs="Times New Roman" w:eastAsia="Times New Roman" w:hAnsi="Times New Roman"/>
          <w:sz w:val="14"/>
          <w:szCs w:val="14"/>
          <w:color w:val="auto"/>
        </w:rPr>
        <w:t>Certain assets and liabilities of the Company are carried at fair value under GAAP. Fair value is defined as the exchange price that would be received for an asset or paid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5" w:lineRule="exact"/>
        <w:rPr>
          <w:sz w:val="20"/>
          <w:szCs w:val="20"/>
          <w:color w:val="auto"/>
        </w:rPr>
      </w:pPr>
    </w:p>
    <w:p>
      <w:pPr>
        <w:ind w:left="1280" w:hanging="257"/>
        <w:spacing w:after="0"/>
        <w:tabs>
          <w:tab w:leader="none" w:pos="12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93" w:lineRule="exact"/>
        <w:rPr>
          <w:rFonts w:ascii="Times New Roman" w:cs="Times New Roman" w:eastAsia="Times New Roman" w:hAnsi="Times New Roman"/>
          <w:sz w:val="14"/>
          <w:szCs w:val="14"/>
          <w:color w:val="auto"/>
        </w:rPr>
      </w:pPr>
    </w:p>
    <w:p>
      <w:pPr>
        <w:ind w:left="1280" w:right="300" w:hanging="257"/>
        <w:spacing w:after="0" w:line="287" w:lineRule="auto"/>
        <w:tabs>
          <w:tab w:leader="none" w:pos="127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39" w:lineRule="exact"/>
        <w:rPr>
          <w:rFonts w:ascii="Times New Roman" w:cs="Times New Roman" w:eastAsia="Times New Roman" w:hAnsi="Times New Roman"/>
          <w:sz w:val="14"/>
          <w:szCs w:val="14"/>
          <w:color w:val="auto"/>
        </w:rPr>
      </w:pPr>
    </w:p>
    <w:p>
      <w:pPr>
        <w:ind w:left="1280" w:right="280" w:hanging="257"/>
        <w:spacing w:after="0" w:line="287" w:lineRule="auto"/>
        <w:tabs>
          <w:tab w:leader="none" w:pos="127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2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embedded derivative liability related to the redemption features of the Company’s debt with Hercules as described further below is carried at fair value and is a Level 3 measurement. The Company’s cash equivalents, consisting of money market funds invested in U.S. Treasury securities, are carried at fair value, determined based on Level 1 and Level 2 inputs in the fair value hierarchy described above. The carrying values of the Company’s accounts payable and accrued expenses approximate their fair values due to the short-term nature of these liabilities. The carrying value of the Company’s outstanding loan and security agreement with Hercules approximates its fair value at December 31, 2022 because the debt bears interest at a variable market rate and the Company’s credit risk has not materially changed since the inception of the agreement.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Segment Information— </w:t>
      </w:r>
      <w:r>
        <w:rPr>
          <w:rFonts w:ascii="Times New Roman" w:cs="Times New Roman" w:eastAsia="Times New Roman" w:hAnsi="Times New Roman"/>
          <w:sz w:val="14"/>
          <w:szCs w:val="14"/>
          <w:color w:val="auto"/>
        </w:rPr>
        <w:t>The Company manages its operations as a single operating segment for the purposes of assessing performance and making operating decisions. The Company’s focus is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research, development and commercialization of novel therapeutics for the treatment of rare diseases.</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auto"/>
        </w:rPr>
        <w:t>The Company records revenue, if any, using the guidance of ASC Topic 606,</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(“ASC 606”), as amended. The Company’s revenues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date have been generated through a license agreement with Abbisko Therapeutics Co., Ltd. (“Abbisko”). For collaboration arrangements, the Company first determines which elements of the arrangement are deemed to be within the scope of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(“ASC 808”) and those that are more reflective of a vendor-customer relationship and, therefore, within the scope of ASC 606. The Company’s policy is generally to recognize amounts received from collaborators in connection with joint operating activities that are within the scope of ASC 808 as a reduction in research and development expense. To date, there have been no transactions within the scope of ASC 808.</w:t>
      </w:r>
    </w:p>
    <w:p>
      <w:pPr>
        <w:spacing w:after="0" w:line="14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Upon the potential approval of the sales and marketing of the Company’s lead product candidate, revenue related to its sale and distribution will be accounted for under ASC 606.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(1) identify the customer and contract(s) with a the customer; (2) identify the performance obligation(s) in the contract; (3) determine the transaction price, adjusted for variable consideration resulting from potential returns, rebates and down-stream charges; (4) allocate the transaction price to the performance obligation(s) in the contract; and (5) recognize revenue when (or as) the Company satisfies its performance obligation(s), which is expected to be upon shipment of the finished product (labelled bottles of capsulized drug product).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part of the accounting for these arrangements, the Company must make significant judgments, including the estimation of the amount of variable consideration to include in the transaction price.</w:t>
      </w:r>
    </w:p>
    <w:p>
      <w:pPr>
        <w:spacing w:after="0" w:line="17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3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4"/>
          <w:szCs w:val="14"/>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w:t>
      </w:r>
    </w:p>
    <w:p>
      <w:pPr>
        <w:ind w:left="700" w:right="300" w:hanging="250"/>
        <w:spacing w:after="0" w:line="253" w:lineRule="auto"/>
        <w:tabs>
          <w:tab w:leader="none" w:pos="69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can benefit from the good or service either on its own or together with other resources that are readily available to the customer (that is, the good or service is capable of being distinct) and</w:t>
      </w:r>
    </w:p>
    <w:p>
      <w:pPr>
        <w:ind w:left="700" w:right="360" w:hanging="250"/>
        <w:spacing w:after="0" w:line="266" w:lineRule="auto"/>
        <w:tabs>
          <w:tab w:leader="none" w:pos="69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entity’s promise to transfer the good or service to the customer is separately identifiable from other promises in the contract (that is, the promise to transfer the good or service is distinct within the context of the contract).</w:t>
      </w:r>
    </w:p>
    <w:p>
      <w:pPr>
        <w:spacing w:after="0" w:line="15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assessing whether a promised good or service is distinct, the Company considers factors such as the research,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transaction price is then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the Company considers applicable market conditions and relevant entity-specific factors, including factors that were contemplated in negotiating the agreement with the customer and estimated costs.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either the expected value method or the most-likely-amount method. The Company includes the unconstrained amount of estimated variable consideration in the transaction price. The amount included in the transaction price reflects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4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then recognizes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At the inception of each arrangement that includes non-refundable payments for contingent milestones, particularly in license agreements, the Company evaluates whether the milestones are considered probable of being achieved and estimates the amount to be included in the transaction price using the most-likely-amount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At the end of each reporting period, the Company re-evaluates the probability of the achievement of contingent milestones and the likelihood of a significant reversal of such milestone revenue, and if necessary, adjusts its estimate of the overall transaction price. Any such adjustments are recorded on a cumulative catch-up basis, which would affect licensing revenue in the period of adjustment. This quarterly assessment may result in the recognition of revenue related to a contingent milestone payment before the milestone event has been achieved.</w:t>
      </w:r>
    </w:p>
    <w:p>
      <w:pPr>
        <w:spacing w:after="0" w:line="14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Programs— </w:t>
      </w:r>
      <w:r>
        <w:rPr>
          <w:rFonts w:ascii="Times New Roman" w:cs="Times New Roman" w:eastAsia="Times New Roman" w:hAnsi="Times New Roman"/>
          <w:sz w:val="14"/>
          <w:szCs w:val="14"/>
          <w:color w:val="auto"/>
        </w:rPr>
        <w:t>Proceeds under the research and development incentive program from the Austrian government are recognized as other income in an amount equal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qualifying expenses incurred in each period multiplied by the applicable reimbursement percentage. Incentive income recognized upon incurring qualifying expenses in advance of receipt of proceeds from research and development incentives is recorded in the consolidated balance sheet as research and development incentive receivable.</w:t>
      </w:r>
    </w:p>
    <w:p>
      <w:pPr>
        <w:spacing w:after="0" w:line="1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Costs— </w:t>
      </w:r>
      <w:r>
        <w:rPr>
          <w:rFonts w:ascii="Times New Roman" w:cs="Times New Roman" w:eastAsia="Times New Roman" w:hAnsi="Times New Roman"/>
          <w:sz w:val="14"/>
          <w:szCs w:val="14"/>
          <w:color w:val="auto"/>
        </w:rPr>
        <w:t>Costs associated with internal research and development and external research and development services, including drug development and preclinical studies,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expensed as incurred. Research and development expenses include costs for salaries, employee benefits, subcontractors, facility-related expenses, depreciation and amortization, stock-based compensation, third-party license fees, laboratory supplies, and external costs of outside vendors engaged to conduct discovery, preclinical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14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Nonrefundable advance payments for services to be received in the future for use in research and development activities are recorded as prepaid expenses. Such prepaid expenses are recognized as an expense when the related services have been performed, or when it is no longer expected that the goods will be delivered or the services rendered.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Patent Costs— </w:t>
      </w:r>
      <w:r>
        <w:rPr>
          <w:rFonts w:ascii="Times New Roman" w:cs="Times New Roman" w:eastAsia="Times New Roman" w:hAnsi="Times New Roman"/>
          <w:sz w:val="14"/>
          <w:szCs w:val="14"/>
          <w:color w:val="auto"/>
        </w:rPr>
        <w:t>All patent-related costs incurred in connection with filing and prosecuting patent applications are expensed as incurred due to the uncertainty about the recovery of the expenditure.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incurred are classified as selling, general and administrative expenses.</w:t>
      </w:r>
    </w:p>
    <w:p>
      <w:pPr>
        <w:spacing w:after="0" w:line="16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Issuance Costs— </w:t>
      </w:r>
      <w:r>
        <w:rPr>
          <w:rFonts w:ascii="Times New Roman" w:cs="Times New Roman" w:eastAsia="Times New Roman" w:hAnsi="Times New Roman"/>
          <w:sz w:val="14"/>
          <w:szCs w:val="14"/>
          <w:color w:val="auto"/>
        </w:rPr>
        <w:t>Debt issuance costs consist of payments made to secure commitments under certain debt financing arrangements. These amounts are recognized as interest expense over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Stock-Based Compensation— </w:t>
      </w:r>
      <w:r>
        <w:rPr>
          <w:rFonts w:ascii="Times New Roman" w:cs="Times New Roman" w:eastAsia="Times New Roman" w:hAnsi="Times New Roman"/>
          <w:sz w:val="14"/>
          <w:szCs w:val="14"/>
          <w:color w:val="auto"/>
        </w:rPr>
        <w:t>The Company measures all stock-based awards granted to employees, nonemployees and directors based on the fair value on the date of the grant and recognizes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expense for those awards, net of estimated forfeitures, over the requisite service period, which is generally the vesting period of the respective award. The Company issues stock-based awards with service-based vesting conditions and records the expense for these awards using the straight-line method. The Company has also issued stock-based awards with performance-based vesting conditions that vest in part upon the Company’s achievement of operational milestones and over time thereafter for the subsequent two years as the employee continues to provide services. The Company assesses the probability of achievement of these operational milestones and recognizes stock-based compensation for these awards using the accelerated attribution model based on the fair value of the awards as of the date of grant and its best estimate of the date each operational milestone will be achieved.</w:t>
      </w:r>
    </w:p>
    <w:p>
      <w:pPr>
        <w:spacing w:after="0" w:line="14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is recognized in full in the period of adjustment, and if the actual forfeiture rate is materially different from the Company’s estimate, the Company may be required to record adjustments to stock-based compensation expense in future periods.</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fair value of each stock option grant is estimated on the date of grant using the Black-Scholes option-pricing model. Prior to March 13, 2019, the Company was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 consultants is equal to the contractual term of the option award.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Derivative Liabilities: Hercules Loan Redemption Feature— </w:t>
      </w:r>
      <w:r>
        <w:rPr>
          <w:rFonts w:ascii="Times New Roman" w:cs="Times New Roman" w:eastAsia="Times New Roman" w:hAnsi="Times New Roman"/>
          <w:sz w:val="14"/>
          <w:szCs w:val="14"/>
          <w:color w:val="auto"/>
        </w:rPr>
        <w:t>The Company’s loan agreement with Hercules (see Note 7) contains a redemption feature that, upon an event of default, provides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Hercules the option to accelerate and demand repayment of the debt, including a prepayment premium, or, at its election, charge additional contingent interest fees on any overdue interest or principal payments. The redemption feature meets the definition of a derivative instrument as the repayment of the debt contains a substantial premium, resulting in the redemption feature not being clearly and closely related to its host instrument. Accordingly, the Company classifies this derivative as a liability within other liabilities (non-current) on its consolidated balance sheets. The derivative liability was initially recorded at fair value on the date of the Hercules Loan Agreement and is subsequently remeasured to fair value at each reporting date. Changes in the fair value of this derivative liability, which is included in other liabilities, are recognized as a component of other income (expense), net in the consolidated statement of operations and comprehensive loss. Changes in the fair value of this derivative liability will continue to be recognized until all amounts outstanding under the Hercules Loan Agreement are repaid or until the Hercules Loan Agreement is terminated.</w:t>
      </w:r>
    </w:p>
    <w:p>
      <w:pPr>
        <w:spacing w:after="0" w:line="142" w:lineRule="exact"/>
        <w:rPr>
          <w:sz w:val="20"/>
          <w:szCs w:val="20"/>
          <w:color w:val="auto"/>
        </w:rPr>
      </w:pPr>
    </w:p>
    <w:p>
      <w:pPr>
        <w:jc w:val="both"/>
        <w:ind w:right="4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Comprehensive Loss— </w:t>
      </w:r>
      <w:r>
        <w:rPr>
          <w:rFonts w:ascii="Times New Roman" w:cs="Times New Roman" w:eastAsia="Times New Roman" w:hAnsi="Times New Roman"/>
          <w:sz w:val="14"/>
          <w:szCs w:val="14"/>
          <w:color w:val="auto"/>
        </w:rPr>
        <w:t>For the year ended December 31, 2022, 2021, and 2020 all foreign currency remeasurement gains and losses were included in net loss as the Company has deemed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functional currency of its foreign subsidiary to be the U.S. Dollar. Accumulated other comprehensive loss includes foreign currency translation adjustments of $119 thousand for the year ended December 31, 2019 that were included in other comprehensive loss prior to the designation of the U.S. Dollar as the functional currency of X4 Austria.</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The Company accounts for income taxes using the asset and liability method, which requires the recognition of deferred tax assets and liabilities for the expected future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Net Loss per Share—</w:t>
      </w:r>
      <w:r>
        <w:rPr>
          <w:rFonts w:ascii="Times New Roman" w:cs="Times New Roman" w:eastAsia="Times New Roman" w:hAnsi="Times New Roman"/>
          <w:sz w:val="14"/>
          <w:szCs w:val="14"/>
          <w:color w:val="auto"/>
        </w:rPr>
        <w:t>Basic net loss per share attributable to common stockholders is computed by dividing the net loss attributable to common stockholders by the weighted average number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of common stock outstanding for the period. In addition, during the years ended December 31, 2022 and 2021, in accordance with the provisions of the Company’s Class B Warrants, the exercise price of each outstanding Class B Warrant was adjusted to the price of subsequent sales of common stock. Such adjustment is presented as as a deemed dividend that adjusts net loss available to common shareholders for purposes of basic earnings per share. The deemed dividend is calculated using the Black-Scholes pricing model, taking into account historical volatility of the Company’s common stock and the estimated remaining life of the outstanding Class B Warrants.</w:t>
      </w:r>
    </w:p>
    <w:p>
      <w:pPr>
        <w:spacing w:after="0" w:line="14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Basic shares outstanding includes the weighted average effect of the Company’s outstanding prefunded warrants, the exercise of which requires little or no consideration for the delivery of shares of common stock.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shares of common stock outstanding for the period, including potential dilutive shares of common stock. For purpose of this calculation, outstanding stock options, convertible preferred stock and warrants to purchase shares of convertible preferred stock or common stock are considered potential dilutive shares of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25"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4"/>
          <w:szCs w:val="14"/>
          <w:color w:val="auto"/>
        </w:rPr>
        <w:t xml:space="preserve">On January 1, 2022, the Company adopted ASU 2021-04, </w:t>
      </w:r>
      <w:r>
        <w:rPr>
          <w:rFonts w:ascii="Times New Roman" w:cs="Times New Roman" w:eastAsia="Times New Roman" w:hAnsi="Times New Roman"/>
          <w:sz w:val="14"/>
          <w:szCs w:val="14"/>
          <w:i w:val="1"/>
          <w:iCs w:val="1"/>
          <w:color w:val="auto"/>
        </w:rPr>
        <w:t>Issuer’s Accounting for Certain Modifications or Exchanges of Freestanding Equity-Classified Written Call Options</w:t>
      </w:r>
      <w:r>
        <w:rPr>
          <w:rFonts w:ascii="Times New Roman" w:cs="Times New Roman" w:eastAsia="Times New Roman" w:hAnsi="Times New Roman"/>
          <w:sz w:val="14"/>
          <w:szCs w:val="14"/>
          <w:color w:val="auto"/>
        </w:rPr>
        <w:t>. ASU 2021-04 was issued to clarify and reduce diversity in an issuer’s accounting for modifications or exchanges of freestanding equity-classified written call options (such as warrants for the purchase of common shares) that remain classified as equity following the modification or exchange. The adoption of this standard did not have an impact on the Company’s consolidated financial statements.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On January 1, 2022, the Company adopted ASU 2021-10, </w:t>
      </w:r>
      <w:r>
        <w:rPr>
          <w:rFonts w:ascii="Times New Roman" w:cs="Times New Roman" w:eastAsia="Times New Roman" w:hAnsi="Times New Roman"/>
          <w:sz w:val="14"/>
          <w:szCs w:val="14"/>
          <w:i w:val="1"/>
          <w:iCs w:val="1"/>
          <w:color w:val="auto"/>
        </w:rPr>
        <w:t>Government Assistant (Topic 832) Disclosures by Business Entities About Government Assistance.</w:t>
      </w:r>
      <w:r>
        <w:rPr>
          <w:rFonts w:ascii="Times New Roman" w:cs="Times New Roman" w:eastAsia="Times New Roman" w:hAnsi="Times New Roman"/>
          <w:sz w:val="14"/>
          <w:szCs w:val="14"/>
          <w:color w:val="auto"/>
        </w:rPr>
        <w:t xml:space="preserve"> ASU 2021-10 was issued to increase the transparency of government assistance including the disclosure of (1) the types of assistance, (2) an entity’s accounting for the assistance, and (3) the effect of the assistance on an entity’s financial statements. The Company’s foreign subsidiary, X4 Austria, participates in a research and development incentive program provided by the Austrian government whereby it is entitled to reimbursement for a percentage of qualifying research and development expenses and capital expenditures incurred. See Note 3 for disclosures required by ASU 2021-10.</w:t>
      </w:r>
    </w:p>
    <w:p>
      <w:pPr>
        <w:spacing w:after="0" w:line="15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 xml:space="preserve">In June 2016, the FASB issued ASU 2016-13, </w:t>
      </w:r>
      <w:r>
        <w:rPr>
          <w:rFonts w:ascii="Times New Roman" w:cs="Times New Roman" w:eastAsia="Times New Roman" w:hAnsi="Times New Roman"/>
          <w:sz w:val="14"/>
          <w:szCs w:val="14"/>
          <w:i w:val="1"/>
          <w:iCs w:val="1"/>
          <w:color w:val="auto"/>
        </w:rPr>
        <w:t>Credit Losses (Topic 326) Measurement of Credit Losses on Financial Instruments</w:t>
      </w:r>
      <w:r>
        <w:rPr>
          <w:rFonts w:ascii="Times New Roman" w:cs="Times New Roman" w:eastAsia="Times New Roman" w:hAnsi="Times New Roman"/>
          <w:sz w:val="14"/>
          <w:szCs w:val="14"/>
          <w:color w:val="auto"/>
        </w:rPr>
        <w:t xml:space="preserve"> (“ASU 2016-13”), as amended. ASU 2016-13 requires that financial assets measured at amortized cost, such as trade receivables, be presented net of expected credit losses, which may be estimated based on relevant information such as historical experience, current conditions, and future expectation for each pool of similar financial asset. The new guidance requires enhanced disclosures related to trade receivables and associated credit losses. In accordance with ASU 2019-10, </w:t>
      </w:r>
      <w:r>
        <w:rPr>
          <w:rFonts w:ascii="Times New Roman" w:cs="Times New Roman" w:eastAsia="Times New Roman" w:hAnsi="Times New Roman"/>
          <w:sz w:val="14"/>
          <w:szCs w:val="14"/>
          <w:i w:val="1"/>
          <w:iCs w:val="1"/>
          <w:color w:val="auto"/>
        </w:rPr>
        <w:t>Financial Instruments-Credit Losses (Topic 326), Derivative and Hedging (Topic 815), and Leases (Topic 842)- Effective Dates,</w:t>
      </w:r>
      <w:r>
        <w:rPr>
          <w:rFonts w:ascii="Times New Roman" w:cs="Times New Roman" w:eastAsia="Times New Roman" w:hAnsi="Times New Roman"/>
          <w:sz w:val="14"/>
          <w:szCs w:val="14"/>
          <w:color w:val="auto"/>
        </w:rPr>
        <w:t xml:space="preserve"> as the Company meets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the definition of a “smaller reporting company”, the Company elected to defer the adoption of ASU 2016-13 until January 1, 2023. As the Company did not have accounts receivable on its consolidated balance sheet as of the date of adoption, there was no impact to the adoption of ASU 2016-13.</w:t>
      </w:r>
    </w:p>
    <w:p>
      <w:pPr>
        <w:spacing w:after="0" w:line="3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LICENSE, COLLABORATION AND FUNDING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Genzyme Agreement</w:t>
      </w:r>
    </w:p>
    <w:p>
      <w:pPr>
        <w:spacing w:after="0" w:line="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In July 2014, the Company entered into a license agreement with Genzyme (the “Genzyme Agreement”) pursuant to which the Company was granted an exclusive license to certain patents and intellectual property owned or controlled by Genzyme related to the CXCR4 receptor to develop and commercialize products containing licensed compounds (including but not limited to mavorixafor) for all therapeutic, prophylactic and diagnostic uses, with the exception of autologous and allogenic human stem cell therapy. Under the terms of the Genzyme Agreement, the Company is obligated to use commercially reasonable efforts to develop and commercialize licensed products for use in the field in the United States and at least one other major market country. The Company has the right to grant sublicenses of the licensed rights that cover mavorixafor to third parties.</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Under the Genzyme Agreement, the Company is obligated to pay Genzyme milestone payments in the aggregate amount of up to $25.0 million, contingent upon the achievement by the Company of certain clinical-stage regulatory and sales milestones with respect to licensed products. The Company is also obligated to pay Genzyme tiered royalties based on net sales of licensed products that the Company commercializes under the agreement. The obligation to pay royalties for each licensed product expires on a country-by-country basis on the latest of (i) the expiration of licensed patent rights that cover that licensed product in that country, (ii) the expiration of regulatory exclusivity in that country and (iii) ten years after the first commercial sale of such licensed product in that country. Royalty rates are subject to reduction under the agreement in specified circumstances, including in any country if the Company is required to obtain a license from any third party to the extent the Company’s patent rights might infringe the third party’s patent rights, if a licensed product is not covered by a valid claim in that country or if sales of generic products reach certain thresholds in that country. If the Company enters into a sublicense under the Genzyme Agreement, the Company will be obligated to pay Genzyme a percentage of certain upfront fees, maintenance fees, milestone payments and royalty payments paid to the Company by the sublicensee. Under the Genzyme Agreement, the Company will itself manufacture and supply, or enter into manufacturing or supply agreements with Genzyme or third parties to manufacture and supply, clinical and commercial supplies of licensed compounds and each licensed product. The Company is also responsible for all costs related to the filing, prosecution and maintenance of the licensed patent rights.</w:t>
      </w:r>
    </w:p>
    <w:p>
      <w:pPr>
        <w:spacing w:after="0" w:line="150"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Genzyme Agreement will remain in effect until the expiration of the royalty term in all countries for all licensed products. The Genzyme Agreement may be terminated by either party with at least 90 days’ notice in the event of material breach by the other party that remains uncured for 90 days, by either party for insolvency or bankruptcy of the other party, immediately by Genzyme if the Company challenges the licensed patents, or immediately by the Company if a material safety issue arises.</w:t>
      </w:r>
    </w:p>
    <w:p>
      <w:pPr>
        <w:spacing w:after="0" w:line="13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2020, the Company incurred $0.9 million of payment obligations to Genzyme. For the years ended December 31, 2022 and 2021, the Company did not incur any payment obligations to Genzyme under the Genzyme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Georgetown Agreement</w:t>
      </w:r>
    </w:p>
    <w:p>
      <w:pPr>
        <w:spacing w:after="0" w:line="2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In December 2016, the Company entered into a license agreement (the “Georgetown Agreement”) with Georgetown University (“Georgetown”) pursuant to which the Company obtained an exclusive, worldwide license to make, have made, use, sell, offer for sale and import of products covered by patent rights co-owned by Georgetown. The rights licensed to the Company are for all therapeutic, prophylactic and diagnostic uses in all disease indications in humans and animals.</w:t>
      </w:r>
    </w:p>
    <w:p>
      <w:pPr>
        <w:spacing w:after="0" w:line="1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Under the terms of the Georgetown Agreement, the Company paid a one-time, upfront fee of $50 thousand and the Company may be required to make milestone payments of up to an aggregate of $800 thousand related to commercial sales of a product. Under the Georgetown Agreement, the Company is solely responsible for all development and commercialization activities and costs in its respective territories. The Company is also responsible for all costs related to the filing, prosecution and maintenance of the licensed patent rights. The term of the Georgetown Agreement will continue until the expiration of the last valid claim within the patent rights covering the product. Georgetown may terminate the agreement in the event (i) the Company fails to pay any amount and fails to cure such failure within 30 days after receipt of notice, (ii) the Company defaults in its obligation to obtain and maintain insurance and fails to remedy such breach within 45 days after receipt of notice, or (iii) the Company declares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insolvency or bankruptcy. The Company may terminate the Georgetown Agreement at any time upon at least 60 days’ written notice. During the years ended December 31, 2022, 2021 and 2020, the Company did not incur any payment obligations to Georgetown under the Georgetown Agreement and no milestone payments were made or due under the Georgetown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Beth Israel Deaconess Medical Center Agreement</w:t>
      </w:r>
    </w:p>
    <w:p>
      <w:pPr>
        <w:spacing w:after="0" w:line="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In December 2016, the Company entered into a license agreement (the “BIDMC Agreement”) with Beth Israel Deaconess Medical Center (“BIDMC”), pursuant to which the Company obtained an exclusive, worldwide license to make, have made, use, sell, offer for sale and import products covered by patent rights co-owned by BIDMC. The rights licensed to the Company are for all fields of use. Under the terms of the BIDMC Agreement, the Company paid a one-time, upfront fee of $20 thousand and the Company is responsible for all future patent prosecution costs. The Company recorded the upfront payment as research and development expense in the consolidated statement of operations because the acquired technology represented in-process research and development and had no alternative future use. The term of the BIDMC Agreement will continue until the expiration of the last valid claim within the patent rights covering the licensed products. BIDMC may terminate the agreement in the event (i) the Company fails to pay any amount and fails to cure such failure within 15 days after receipt of notice, (ii) the Company is in material breach of any material provision of the BIDMC Agreement and fails to remedy such breach within 60 days after receipt of notice, or (iii) the Company declares insolvency or bankruptcy. The Company may terminate the BIDMC Agreement at any time upon at least 90 days’ written notice. The Company did not incur any payment obligations under the BIDMC Agreement during the years ended December 31, 2022, 2021 and 2020.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Dana Farber Cancer Institute Agreement</w:t>
      </w:r>
    </w:p>
    <w:p>
      <w:pPr>
        <w:spacing w:after="0" w:line="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November 2020, the Company entered into a license agreement (the “DFCI Agreement”) with the Dana Farber Cancer Institute (“DFCI”) pursuant to which the Company obtained a non-exclusive, royalty-bearing license to use, make, have made, develop, market, import, distribute, sell and have sold products covered by patent rights owned by DFCI. Under the terms of the DFCI Agreement, the Company paid a one-time, upfront fee of $25 thousand and approximately $35 thousand for reimbursement of DFCI’s past patent expenses relating to the patent rights. The Company will pay 25% of DFCI’s ongoing patent prosecution expenses and an annual license maintenance fee of $10 thousand in each of the first three years, $40 thousand in each of the subsequent three years and</w:t>
      </w:r>
    </w:p>
    <w:p>
      <w:pPr>
        <w:ind w:right="80"/>
        <w:spacing w:after="0" w:line="257" w:lineRule="auto"/>
        <w:rPr>
          <w:sz w:val="20"/>
          <w:szCs w:val="20"/>
          <w:color w:val="auto"/>
        </w:rPr>
      </w:pPr>
      <w:r>
        <w:rPr>
          <w:rFonts w:ascii="Times New Roman" w:cs="Times New Roman" w:eastAsia="Times New Roman" w:hAnsi="Times New Roman"/>
          <w:sz w:val="14"/>
          <w:szCs w:val="14"/>
          <w:color w:val="auto"/>
        </w:rPr>
        <w:t>$50 thousand every year after that until commercialization. The Company may be required to make milestone payments of up to an aggregate of approximately $32.3 million related to development, regulatory and commercial sales events. No such milestone payments have been incurred to date. The Company recorded the upfront payment as research and development expense in the consolidated statement of operations and comprehensive loss because the acquired technology represented in-process research and development and had no alternative future use. The term of the DCFI Agreement will continue until the expiration of the last valid claim within the patent rights covering the product. DFCI may terminate the agreement if certain events occur.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Incentive Program</w:t>
      </w:r>
    </w:p>
    <w:p>
      <w:pPr>
        <w:spacing w:after="0" w:line="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Company participates in a research and development incentive program provided by the Austrian government whereby the Company is entitled to reimbursement by the Austrian government for a percentage of qualifying research and development expenses incurred by the Company’s subsidiary in Austria. Under the program, the reimbursement rate for qualifying research and development expenses incurred by the Company through X4 Austria is 14% for the current year. X4 Austria also participated in a COVID-19 incentive program, which provides reimbursement for qualified capital spending during a defined time period.</w:t>
      </w:r>
    </w:p>
    <w:p>
      <w:pPr>
        <w:spacing w:after="0" w:line="14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recognizes incentive income from Austrian research and development incentives when qualifying expenses have been incurred, there is reasonable assurance that the payment will be received, and the consideration can be reliably measured. Management has assessed the Company’s research and development activities and expenditures to determine which activities and expenditures are likely to be eligible under the research and development incentive program described above. At each reporting date, management estimates the reimbursable incentive income available to the Company based on available information at the time.</w:t>
      </w:r>
    </w:p>
    <w:p>
      <w:pPr>
        <w:spacing w:after="0" w:line="14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As of the years ended December 31, 2022 and 2021, the amounts due under these programs were $1.2 million and $0.7 million, respectively, which is included in research and development incentive receivable on the consolidated balance sheets. During the years ended December 31, 2022, 2021 and 2020, the Company recorded $0.5 million, $0.8 million and $0.5 million, respectively, of income related to the program on the consolidated statement of operations and comprehensive loss within “other income”.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Abbisko Agreement</w:t>
      </w:r>
    </w:p>
    <w:p>
      <w:pPr>
        <w:spacing w:after="0" w:line="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In July 2019, the Company entered into a license agreement with Abbisko (the “Abbisko Agreement”). Under the terms of the Abbisko Agreement, the Company granted Abbisko the exclusive right to develop, manufacture and commercialize mavorixafor in mainland China, Taiwan, Hong Kong and Macau, the (“Abbisko Territory”). The agreement provides Abbisko with the exclusive rights in the Abbisko Territory to develop and commercialize mavorixafor in combination with checkpoint inhibitors or other agents in multiple oncology indications. The Company retains the full rest-of-world rights to develop and commercialize mavorixafor outside of Greater China for all indications and the ability to utilize data generated pursuant to the Abbisko collaboration for rest-of-world development. Assuming mavorixafor is developed by Abbisko in six indications, the Company would be entitled to milestone payments of up to $214.0 million, which will vary based on the ultimate sales, if any, of the approved licensed products. In addition, upon commercialization of mavorixafor in the Abbisko Territory, the Company is eligible to receive a tiered royalty, with a percentage range in the low double-digits, on net sales of approved licensed products. Abbisko is obligated to use commercially reasonable efforts to develop and commercialize mavorixafor in the Abbisko Territory. Abbisko has responsibility for all activities and costs associated with the further development, manufacture and commercialization of mavorixafor in the Abbisko Territory.</w:t>
      </w:r>
    </w:p>
    <w:p>
      <w:pPr>
        <w:spacing w:after="0" w:line="1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Following the closing of a qualified financing (as such term is defined in the Abbisko Agreement), Abbisko was required to pay the Company a one-time, non-refundable, non-creditable financial milestone payment of $3.0 million. Abbisko achieved such qualified financing in March 2020 and, as a result, the Company was eligible to receive the milestone payment, which was received by the Company in April 2020. The Company is also eligible to receive potential development and regulatory milestone payments, which vary based on the number of indications developed, and potential commercial milestone payments based on annual net sales of mavorixafor-based licensed products.</w:t>
      </w:r>
    </w:p>
    <w:p>
      <w:pPr>
        <w:spacing w:after="0" w:line="14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Upon entering into the Abbisko Agreement, the Company evaluated the Abbisko Agreement under ASC 606 and determined the Abbisko Agreement contained a single performance obligation related to the exclusive license to develop and commercialize mavorixafor and the transfer of know-how that was satisfied at the inception of the arrangement. The transaction price related to the transfer of the license and know-how was fully constrained and the Company ascribed no transaction price to the development, regulatory and commercial milestones under the “most-likely amount” method. The Company concluded that any consideration related to the initial transfer of the license and know-how will be recognized when it is probable that Abbisko will achieve the related financial milestone and other operational milestones. Any consideration related to sales-based milestones (including royalties) will be recognized when the related sales occur as these amounts have been determined to relate predominantly to the license granted to Abbisko and therefore are recognized at the later of when the performance obligation is satisfied or the related sales occur. As a result of Abbisko’s achievement of the qualified financing, the Company reversed the constraint related to this milestone and recognized $3.0 million of license revenue during the year ended December 31, 2020.</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determined that the future sale of clinical and commercial supply are optional goods that will be subject to the customer's future purchasing decisions and do not represent performance obligations in the Abbisko Agreement. The Company concluded that the amount to be charged for the clinical supply will be reflective of market value and, therefore, the Abbisko Agreement does not provide a discount on such supply that would be accounted for as material right at the outset of the contract. In arriving at these conclusions, the Company considered the complexity of the manufacturing process for the licensed compound and the potential ability for Abbisko to obtain the compound directly from other manufactures in the future. The Company expects that it will recognize revenue at a point in time when such clinical supply (and commercial supply, if applicable) is delivered to Abbisko in the future.</w:t>
      </w:r>
    </w:p>
    <w:p>
      <w:pPr>
        <w:spacing w:after="0" w:line="14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re-evaluates the transaction price, including its estimated variable consideration for milestones included in the transaction price and all constrained amounts, in each reporting period and as uncertain events are resolved or other changes in circumstances occur.</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FAIR VALUE OF FINANCIAL ASSETS AND LIABILITIES</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Measurements as of December 31, 2022 Using:</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3"/>
                <w:szCs w:val="13"/>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13"/>
                <w:szCs w:val="13"/>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60" w:type="dxa"/>
            <w:vAlign w:val="bottom"/>
          </w:tcPr>
          <w:p>
            <w:pPr>
              <w:spacing w:after="0"/>
              <w:rPr>
                <w:sz w:val="13"/>
                <w:szCs w:val="13"/>
                <w:color w:val="auto"/>
              </w:rPr>
            </w:pPr>
          </w:p>
        </w:tc>
        <w:tc>
          <w:tcPr>
            <w:tcW w:w="114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equivalents—money market funds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73,028</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70,170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73,028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Embedded derivative liability</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Class C Warrant Liability (Note 10)</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23,131</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Measurements as of December 31, 2021 Using:</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3"/>
                <w:szCs w:val="13"/>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13"/>
                <w:szCs w:val="13"/>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60" w:type="dxa"/>
            <w:vAlign w:val="bottom"/>
          </w:tcPr>
          <w:p>
            <w:pPr>
              <w:spacing w:after="0"/>
              <w:rPr>
                <w:sz w:val="13"/>
                <w:szCs w:val="13"/>
                <w:color w:val="auto"/>
              </w:rPr>
            </w:pPr>
          </w:p>
        </w:tc>
        <w:tc>
          <w:tcPr>
            <w:tcW w:w="114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equivalents—money market fund</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27,793</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47,793</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47,793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0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Embedded derivative liability</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Company’s cash equivalents consisted of money market funds invested in U.S. Treasury securities. The money market funds were valued based on reported market pricing for the identical asset or by using inputs observable in active markets for similar securities, which represents a Level 2 measurement in the fair value hierarchy.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roll-forward of the aggregate fair values of the Company’s warrant liability and derivative liability, for which fair values are determined using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28575</wp:posOffset>
            </wp:positionV>
            <wp:extent cx="427799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6">
                      <a:extLst>
                        <a:ext uri="{28A0092B-C50C-407E-A947-70E740481C1C}"/>
                      </a:extLst>
                    </a:blip>
                    <a:srcRect/>
                    <a:stretch>
                      <a:fillRect/>
                    </a:stretch>
                  </pic:blipFill>
                  <pic:spPr bwMode="auto">
                    <a:xfrm>
                      <a:off x="0" y="0"/>
                      <a:ext cx="4277995" cy="698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Embedded Derivative Liability</w:t>
            </w:r>
          </w:p>
        </w:tc>
        <w:tc>
          <w:tcPr>
            <w:tcW w:w="280" w:type="dxa"/>
            <w:vAlign w:val="bottom"/>
          </w:tcPr>
          <w:p>
            <w:pPr>
              <w:spacing w:after="0"/>
              <w:rPr>
                <w:sz w:val="15"/>
                <w:szCs w:val="15"/>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PIPE Warrant Liability</w:t>
            </w:r>
          </w:p>
        </w:tc>
        <w:tc>
          <w:tcPr>
            <w:tcW w:w="280" w:type="dxa"/>
            <w:vAlign w:val="bottom"/>
          </w:tcPr>
          <w:p>
            <w:pPr>
              <w:spacing w:after="0"/>
              <w:rPr>
                <w:sz w:val="15"/>
                <w:szCs w:val="15"/>
                <w:color w:val="auto"/>
              </w:rPr>
            </w:pPr>
          </w:p>
        </w:tc>
        <w:tc>
          <w:tcPr>
            <w:tcW w:w="18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Class C Warrant Liability</w:t>
            </w: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Change in fair value</w:t>
            </w: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Class C Warrants</w:t>
            </w: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21,526</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w:t>
            </w: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r>
      <w:tr>
        <w:trPr>
          <w:trHeight w:val="18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Reclassification to permanent equity</w:t>
            </w: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(38,754)</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23,131</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Valuation of Embedded Derivative Liability— </w:t>
      </w:r>
      <w:r>
        <w:rPr>
          <w:rFonts w:ascii="Times New Roman" w:cs="Times New Roman" w:eastAsia="Times New Roman" w:hAnsi="Times New Roman"/>
          <w:sz w:val="14"/>
          <w:szCs w:val="14"/>
          <w:color w:val="auto"/>
        </w:rPr>
        <w:t>The fair value of the embedded derivative liability recognized in connection with the Company’s loan agreement with Hercules (see Note 7), which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associated with additional fees due to Hercules upon events of default, was determined based on significant inputs not observable in the market, which represents a Level 3 measurement within the fair value hierarchy. The fair value of this embedded derivative liability, which is reported within other non-current liabilities on the consolidated balance sheets, is estimated by the Company at each reporting date based, in part, on the results of third-party valuations, which were prepared based on a discounted cash flow model that considered the timing and probability of occurrence of a redemption upon an event of default, the potential amount of prepayment fees or contingent interest upon an event of default and the Company’s risk-adjusted discount rate of 14%. As of December 31, 2022 and December 31, 2021, the fair value of this derivative liability was $10 thousand and $821 thousand,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Warrant Liabilities— </w:t>
      </w:r>
      <w:r>
        <w:rPr>
          <w:rFonts w:ascii="Times New Roman" w:cs="Times New Roman" w:eastAsia="Times New Roman" w:hAnsi="Times New Roman"/>
          <w:sz w:val="14"/>
          <w:szCs w:val="14"/>
          <w:color w:val="auto"/>
        </w:rPr>
        <w:t>On July 6, 2022, the Company issued Warrants for the purchase of its common stock in a private placement (the “ PIPE Warrants”). Upon issuance, the holder’s exercise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PIPE Warrants was conditioned on the Company increasing it authorized shares. As there we insufficient authorized shares available at the time of issuance, the PIPE Warrants were classified as a liability and measured at fair value. On September 1, 2022, upon shareholder approval of the increase to the Company’s authorized shares, the PIPE Warrants met all criteria required for permanent equity accounting and, accordingly, the Company remeasured the fair value of the warrant liability through “other income (expense)” and reclassified the fair value of the warrant liability to additional paid-in capital. In December 2022, the Company issued Class C Warrants for the purchase of shares of its common stock in a public offering. The Class C Warrants are accounted for as a liability on the consolidated balance sheet and are adjusted to fair value at period end through “other income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calculated the fair value of the PIPE Warrants and the Class C Warrants using the Black-Scholes option pricing model with the following inputs: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4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PIPE Warrants</w:t>
            </w:r>
          </w:p>
        </w:tc>
        <w:tc>
          <w:tcPr>
            <w:tcW w:w="2460" w:type="dxa"/>
            <w:vAlign w:val="bottom"/>
            <w:gridSpan w:val="3"/>
          </w:tcPr>
          <w:p>
            <w:pPr>
              <w:ind w:left="1540"/>
              <w:spacing w:after="0"/>
              <w:rPr>
                <w:sz w:val="20"/>
                <w:szCs w:val="20"/>
                <w:color w:val="auto"/>
              </w:rPr>
            </w:pPr>
            <w:r>
              <w:rPr>
                <w:rFonts w:ascii="Times New Roman" w:cs="Times New Roman" w:eastAsia="Times New Roman" w:hAnsi="Times New Roman"/>
                <w:sz w:val="11"/>
                <w:szCs w:val="11"/>
                <w:b w:val="1"/>
                <w:bCs w:val="1"/>
                <w:color w:val="auto"/>
              </w:rPr>
              <w:t>Class C Warrants</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140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7/6/2022 (issuance)</w:t>
            </w: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92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9/1/2022 (reclassification to permanent</w:t>
            </w:r>
          </w:p>
        </w:tc>
        <w:tc>
          <w:tcPr>
            <w:tcW w:w="120" w:type="dxa"/>
            <w:vAlign w:val="bottom"/>
          </w:tcPr>
          <w:p>
            <w:pPr>
              <w:spacing w:after="0"/>
              <w:rPr>
                <w:sz w:val="9"/>
                <w:szCs w:val="9"/>
                <w:color w:val="auto"/>
              </w:rPr>
            </w:pPr>
          </w:p>
        </w:tc>
        <w:tc>
          <w:tcPr>
            <w:tcW w:w="2460" w:type="dxa"/>
            <w:vAlign w:val="bottom"/>
            <w:tcBorders>
              <w:top w:val="single" w:sz="8" w:color="auto"/>
            </w:tcBorders>
            <w:gridSpan w:val="3"/>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12/9/2022 (issuance)</w:t>
            </w:r>
          </w:p>
        </w:tc>
        <w:tc>
          <w:tcPr>
            <w:tcW w:w="148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53"/>
        </w:trPr>
        <w:tc>
          <w:tcPr>
            <w:tcW w:w="33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460" w:type="dxa"/>
            <w:vAlign w:val="bottom"/>
            <w:gridSpan w:val="3"/>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price</w:t>
            </w:r>
          </w:p>
        </w:tc>
        <w:tc>
          <w:tcPr>
            <w:tcW w:w="14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0" w:type="dxa"/>
            <w:vAlign w:val="bottom"/>
          </w:tcPr>
          <w:p>
            <w:pPr>
              <w:spacing w:after="0"/>
              <w:rPr>
                <w:sz w:val="1"/>
                <w:szCs w:val="1"/>
                <w:color w:val="auto"/>
              </w:rPr>
            </w:pP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97.30 %</w:t>
            </w:r>
          </w:p>
        </w:tc>
        <w:tc>
          <w:tcPr>
            <w:tcW w:w="1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97.50 %</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101.80 %</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101.70 %</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4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Goodwill</w:t>
      </w:r>
    </w:p>
    <w:p>
      <w:pPr>
        <w:spacing w:after="0" w:line="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Goodwill is tested quantitatively for impairment at the reporting unit level annually in the fourth quarter, or more frequently when events or changes in circumstances indicate that the asset might be impaired. During the fourth quarter of 2021, the Company’s market capitalization, measured as the price of the Company’s common stock multiplied by common shares outstanding, was below the value of the Company’s net assets, including goodwill. As a result of the sustained decline in the market price of the Company’s common stock, the fair value of the Company’s single reporting unit, determined based on Company’s market capitalization on December 31, 2021, was lower than its carrying value and the Company concluded that goodwill was impaired. Accordingly, the Company recorded an impairment charge of $9.8 million to reduce the carrying amount of goodwill to $17.4 million as of December 31, 2021. The Company tested goodwill for impairment as of December 31, 2022 and concluded that goodwill was not further impaired. Should the market value of the Company’s common stock decline, additional impairment charges may be recorded in the future.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rollforward of the Company’s goodwill and accumulated impairment losses.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3"/>
                <w:szCs w:val="13"/>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Goodwill, Gross</w:t>
            </w:r>
          </w:p>
        </w:tc>
        <w:tc>
          <w:tcPr>
            <w:tcW w:w="120" w:type="dxa"/>
            <w:vAlign w:val="bottom"/>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Impairment Loss</w:t>
            </w:r>
          </w:p>
        </w:tc>
        <w:tc>
          <w:tcPr>
            <w:tcW w:w="380" w:type="dxa"/>
            <w:vAlign w:val="bottom"/>
          </w:tcPr>
          <w:p>
            <w:pPr>
              <w:spacing w:after="0"/>
              <w:rPr>
                <w:sz w:val="13"/>
                <w:szCs w:val="13"/>
                <w:color w:val="auto"/>
              </w:rPr>
            </w:pP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Goodwill</w:t>
            </w:r>
          </w:p>
        </w:tc>
      </w:tr>
      <w:tr>
        <w:trPr>
          <w:trHeight w:val="18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at December 31, 2020</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27,109</w:t>
            </w:r>
          </w:p>
        </w:tc>
        <w:tc>
          <w:tcPr>
            <w:tcW w:w="480" w:type="dxa"/>
            <w:vAlign w:val="bottom"/>
          </w:tcPr>
          <w:p>
            <w:pPr>
              <w:spacing w:after="0"/>
              <w:rPr>
                <w:sz w:val="15"/>
                <w:szCs w:val="15"/>
                <w:color w:val="auto"/>
              </w:rPr>
            </w:pPr>
          </w:p>
        </w:tc>
      </w:tr>
      <w:tr>
        <w:trPr>
          <w:trHeight w:val="180"/>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(9,758)</w:t>
            </w:r>
          </w:p>
        </w:tc>
        <w:tc>
          <w:tcPr>
            <w:tcW w:w="480" w:type="dxa"/>
            <w:vAlign w:val="bottom"/>
          </w:tcPr>
          <w:p>
            <w:pPr>
              <w:spacing w:after="0"/>
              <w:rPr>
                <w:sz w:val="15"/>
                <w:szCs w:val="15"/>
                <w:color w:val="auto"/>
              </w:rPr>
            </w:pPr>
          </w:p>
        </w:tc>
      </w:tr>
      <w:tr>
        <w:trPr>
          <w:trHeight w:val="17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at December 31, 2021</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27,109</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17,351</w:t>
            </w:r>
          </w:p>
        </w:tc>
        <w:tc>
          <w:tcPr>
            <w:tcW w:w="480" w:type="dxa"/>
            <w:vAlign w:val="bottom"/>
          </w:tcPr>
          <w:p>
            <w:pPr>
              <w:spacing w:after="0"/>
              <w:rPr>
                <w:sz w:val="14"/>
                <w:szCs w:val="14"/>
                <w:color w:val="auto"/>
              </w:rPr>
            </w:pPr>
          </w:p>
        </w:tc>
      </w:tr>
      <w:tr>
        <w:trPr>
          <w:trHeight w:val="17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at December 31, 2022</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27,109</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17,351</w:t>
            </w:r>
          </w:p>
        </w:tc>
        <w:tc>
          <w:tcPr>
            <w:tcW w:w="480" w:type="dxa"/>
            <w:vAlign w:val="bottom"/>
          </w:tcPr>
          <w:p>
            <w:pPr>
              <w:spacing w:after="0"/>
              <w:rPr>
                <w:sz w:val="14"/>
                <w:szCs w:val="14"/>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863"/>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F-20</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87"/>
        </w:trPr>
        <w:tc>
          <w:tcPr>
            <w:tcW w:w="5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tcPr>
          <w:p>
            <w:pPr>
              <w:jc w:val="right"/>
              <w:ind w:right="932"/>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tcPr>
          <w:p>
            <w:pPr>
              <w:jc w:val="right"/>
              <w:ind w:right="952"/>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5"/>
        </w:trPr>
        <w:tc>
          <w:tcPr>
            <w:tcW w:w="5820" w:type="dxa"/>
            <w:vAlign w:val="bottom"/>
            <w:tcBorders>
              <w:bottom w:val="single" w:sz="8" w:color="CCEEFF"/>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54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54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54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 equipment</w:t>
            </w:r>
          </w:p>
        </w:tc>
        <w:tc>
          <w:tcPr>
            <w:tcW w:w="54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54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related to property and equipment was approximately $513 thousand, $499 thousand, and $351 thousand for the years ended December 31, 2022, 2021 and 2020, respectively.</w:t>
      </w:r>
    </w:p>
    <w:p>
      <w:pPr>
        <w:spacing w:after="0" w:line="20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tab/>
        <w:t>ACCRUED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consisted of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0" w:type="dxa"/>
            <w:vAlign w:val="bottom"/>
            <w:tcBorders>
              <w:top w:val="single" w:sz="8" w:color="auto"/>
            </w:tcBorders>
          </w:tcPr>
          <w:p>
            <w:pPr>
              <w:jc w:val="right"/>
              <w:ind w:right="36"/>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right"/>
              <w:ind w:right="573"/>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732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140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expenses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deferred financing fees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140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reclassifications have been made to the December 31, 2021 line items on this table to conform with December 31, 2022 presentation.</w:t>
      </w:r>
    </w:p>
    <w:p>
      <w:pPr>
        <w:spacing w:after="0" w:line="26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LONG-TERM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0" w:type="dxa"/>
            <w:vAlign w:val="bottom"/>
            <w:tcBorders>
              <w:top w:val="single" w:sz="8" w:color="auto"/>
            </w:tcBorders>
          </w:tcPr>
          <w:p>
            <w:pPr>
              <w:jc w:val="right"/>
              <w:ind w:right="36"/>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right"/>
              <w:ind w:right="533"/>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736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long-term debt</w:t>
            </w:r>
          </w:p>
        </w:tc>
        <w:tc>
          <w:tcPr>
            <w:tcW w:w="140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(discount) premium, net of accretion</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accrual of end of term payments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Long-term debt</w:t>
            </w:r>
          </w:p>
        </w:tc>
        <w:tc>
          <w:tcPr>
            <w:tcW w:w="1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33,934</w:t>
            </w:r>
          </w:p>
        </w:tc>
        <w:tc>
          <w:tcPr>
            <w:tcW w:w="0" w:type="dxa"/>
            <w:vAlign w:val="bottom"/>
          </w:tcPr>
          <w:p>
            <w:pPr>
              <w:spacing w:after="0"/>
              <w:rPr>
                <w:sz w:val="1"/>
                <w:szCs w:val="1"/>
                <w:color w:val="auto"/>
              </w:rPr>
            </w:pPr>
          </w:p>
        </w:tc>
      </w:tr>
      <w:tr>
        <w:trPr>
          <w:trHeight w:val="17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71"/>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40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Hercules Loan Agreement, As Amended-— </w:t>
      </w:r>
      <w:r>
        <w:rPr>
          <w:rFonts w:ascii="Times New Roman" w:cs="Times New Roman" w:eastAsia="Times New Roman" w:hAnsi="Times New Roman"/>
          <w:sz w:val="14"/>
          <w:szCs w:val="14"/>
          <w:color w:val="auto"/>
        </w:rPr>
        <w:t>In October 2018, the Company entered into a Loan and Security Agreement (the “Hercules Loan Agreement”), as subsequently amended from time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with Hercules, under which the Company has borrowed an aggregate of $32.5 million of term loans to date. The Hercules Loan Agreement provided for maximum borrowings of up to $50.0 million, which included, subject to Hercules investment committee’s sole discretion, a right of the Company to request that Hercules make additional term loan advances in an aggregate amount of up to $17.5 million through December 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 xml:space="preserve">2022. Borrowings under the Hercules Loan Agreement accrued interest at a variable rate equal to the greater of (i) 8.75%, or (ii)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prime rate plus 3.75%. In an event of default, and until such event is no longer continuing, the interest rate applicable to borrowings would be increased by 4.0%. The Company concluded that each of the amendments completed during the year ended December 31, 2022 represented a modification to the debt as opposed to an extinguishment. Accordingly, fees paid to third parties directly related to the amended debt were expensed as incurred and fees paid to Hercules in conjunction with the amendment were deferred and are being amortized to interest expense over the life of the debt arrangement using the effective interest method.</w:t>
      </w:r>
    </w:p>
    <w:p>
      <w:pPr>
        <w:spacing w:after="0" w:line="4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Pursuant to the Hercules Loan Agreement, effective as of September 1, 2022, the Company was required to maintain cash in an account or accounts in which Hercules has a first priority security interest, in an aggregate amount greater than $30.0 million. Following the Company’s achievement of an operational performance milestone, as defined in the Hercules Loan Agreement, the required level was reduced to $20.0 million; and provided further, that subject to the Company’s filing of a NDA for mavorixafor for the treatment of WHIM syndrome, this covenant would be extinguished. As of December 31, 2022, borrowings under the Hercules Loan Agreement were repayable in monthly interest-only payments through July 1, 2023, and in equal monthly payments of principal and accrued interest from August 1, 2023 until the maturity date of the loan, which was July 1,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interest expense under the Hercules Loan Agreement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5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For the years ended</w:t>
            </w:r>
          </w:p>
        </w:tc>
        <w:tc>
          <w:tcPr>
            <w:tcW w:w="54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spacing w:after="0"/>
              <w:rPr>
                <w:sz w:val="15"/>
                <w:szCs w:val="15"/>
                <w:color w:val="auto"/>
              </w:rPr>
            </w:pPr>
          </w:p>
        </w:tc>
      </w:tr>
      <w:tr>
        <w:trPr>
          <w:trHeight w:val="160"/>
        </w:trPr>
        <w:tc>
          <w:tcPr>
            <w:tcW w:w="436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2022</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58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r>
      <w:tr>
        <w:trPr>
          <w:trHeight w:val="184"/>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580" w:type="dxa"/>
            <w:vAlign w:val="bottom"/>
          </w:tcPr>
          <w:p>
            <w:pPr>
              <w:jc w:val="right"/>
              <w:ind w:right="141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r>
    </w:tbl>
    <w:p>
      <w:pPr>
        <w:spacing w:after="0" w:line="200" w:lineRule="exact"/>
        <w:rPr>
          <w:sz w:val="20"/>
          <w:szCs w:val="20"/>
          <w:color w:val="auto"/>
        </w:rPr>
      </w:pPr>
    </w:p>
    <w:p>
      <w:pPr>
        <w:spacing w:after="0" w:line="23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annual effective interest rate on the Hercules Loan Agreement as of December 31, 2022 was 13.5%. There were no principal payments due or paid under the Hercules Loan Agreement during the year ended December 31, 2022. An end-of-term payment of $0.8 million was paid during the year ended December 31, 2022 in accordance with the Hercules Loan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future principal payments and accrued end-of-term payments due under the Hercules Loan Agreement were as follows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580" w:type="dxa"/>
            <w:vAlign w:val="bottom"/>
            <w:tcBorders>
              <w:top w:val="single" w:sz="8" w:color="auto"/>
              <w:bottom w:val="single" w:sz="8" w:color="auto"/>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105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14,037</w:t>
            </w:r>
          </w:p>
        </w:tc>
      </w:tr>
      <w:tr>
        <w:trPr>
          <w:trHeight w:val="18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19,779</w:t>
            </w:r>
          </w:p>
        </w:tc>
      </w:tr>
      <w:tr>
        <w:trPr>
          <w:trHeight w:val="19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 including end-of-term payments</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 of December 31, 2022, the Company had the intent and ability to refinance the short-term principal obligations of the Hercules Loan Agreement to long-term, as demonstrated by entering into the Second Amended and Restated Loan and Security Agreement on January 6, 2023 as noted below. Therefore, short-term debt on the December 31, 2022 consolidated balance sheet includes only the accrued portion of certain end-of-term payments due within one year of the consolidated balance sheet date that remained due within one year of the consolidated balance sheet date following the January 6, 2023 refinancing.</w:t>
      </w:r>
    </w:p>
    <w:p>
      <w:pPr>
        <w:spacing w:after="0" w:line="22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Second Amended and Restated Loan and Security Agreement-— </w:t>
      </w:r>
      <w:r>
        <w:rPr>
          <w:rFonts w:ascii="Times New Roman" w:cs="Times New Roman" w:eastAsia="Times New Roman" w:hAnsi="Times New Roman"/>
          <w:sz w:val="14"/>
          <w:szCs w:val="14"/>
          <w:color w:val="auto"/>
        </w:rPr>
        <w:t>On January 6, 2023, the Company entered into a Second Amended and Restated Loan and Security Agreement (the “Second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A&amp;R Loan Agreement”), which amended and restated all previous loan and security agreements with Hercules. The Second A&amp;R Loan Agreement provides for maximum borrowings of up to $32.5 million. Borrowings under the Second A&amp;R Loan Agreement accrue interest at a variable rate equal to the greater of (i) 10.15%, or (ii)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prime rate plus 3.15%. In an event of default, and until such event is no longer continuing, the interest rate applicable to borrowings would be increased by 4.0%.</w:t>
      </w:r>
    </w:p>
    <w:p>
      <w:pPr>
        <w:spacing w:after="0" w:line="22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Borrowings under the Second A&amp;R Loan Agreement are repayable in monthly interest-only payments through September 2024, and in equal monthly payments of principal and accrued interest from October 1, 2024 until the maturity date of the loan on April 1, 2026; provided however, if certain conditions are met and the Company achieves certain operational and financial milestones,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the maturity date will be extended to July 1, 2027. Under the Second A&amp;R Loan Agreement, the Company may prepay all, but not less than all, of the outstanding borrowings, subject to a prepayment premium of up to 3.0% of the principal amount outstanding as of the date of repayment.</w:t>
      </w:r>
    </w:p>
    <w:p>
      <w:pPr>
        <w:spacing w:after="0" w:line="2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Under the Second A&amp;R Loan Agreement, the Company has agreed to affirmative and negative covenants. Pursuant to the Second A&amp;R Loan Agreement, the Company is required to maintain cash in an account or accounts in which Hercules has a first priority security interest, in an aggregate amount greater than $20.0 million. Upon the FDA approval of the sale and marketing of mavorixafor for the treatment to patients with WHIM syndrome with a label claim that is generally consistent with that sought in the Company’s NDA filing, the required level shall be reduced to $10.0 million. A breach of any of the covenants under the Second A&amp;R Loan Agreement could result in a default under the loan. Upon the occurrence of an event of default under the loan facility with Hercules, the lender could elect to declare all amounts outstanding, if any, to be immediately due and payable and terminate all commitments to extend further credit. If there are any amounts outstanding that the Company is unable to repay, the lenders could proceed against the collateral granted to them to secure such indebtedness.</w:t>
      </w:r>
    </w:p>
    <w:p>
      <w:pPr>
        <w:spacing w:after="0" w:line="2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Borrowings under the Second A&amp;R Loan Agreement are collateralized by substantially all of the Company’s personal property and other assets except for its intellectual property (but including rights to payment an proceeds from the sale, licensing or disposition of the intellectual property). The Second A&amp;R Loan Agreement restricts the Company’s ability to incur additional indebtedness, pay dividends, encumber its intellectual property, or engage in certain fundamental business transactions, such as mergers or acquisitions of other businesses, with certain exceptions.</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Under the Hercules Loan Agreement, the Company was required to pay “end-of-term” payments of $1.3 million and $0.8 million payable on July 1, 2023 and July 1, 2024, respectively. In connection with entering into the Second A&amp;R Loan Agreement on January 6, 2023, the end-of-term payment of $1.3 million was paid and the due date of the $0.8 million end-of-term payment was accelerated to July 1, 2023. The Second A&amp;R Loan Agreement added an additional end-of-term payment of $1.3 million that is due on April 1, 2026. These end-of-term payments are accelerated upon the prepayment of the borrowings upon the Company’s election on upon default of the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January 6, 2023, future principal payments due under the Second A&amp;R Loan Agreement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580" w:type="dxa"/>
            <w:vAlign w:val="bottom"/>
            <w:tcBorders>
              <w:top w:val="single" w:sz="8" w:color="auto"/>
              <w:bottom w:val="single" w:sz="8" w:color="auto"/>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105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w:t>
            </w: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21,646</w:t>
            </w:r>
          </w:p>
        </w:tc>
      </w:tr>
      <w:tr>
        <w:trPr>
          <w:trHeight w:val="18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5,784</w:t>
            </w:r>
          </w:p>
        </w:tc>
      </w:tr>
      <w:tr>
        <w:trPr>
          <w:trHeight w:val="19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LEASES</w:t>
      </w:r>
    </w:p>
    <w:p>
      <w:pPr>
        <w:spacing w:after="0" w:line="9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has lease agreements for its facilities in Boston, Massachusetts, which is the Company’s principal executive offices; Vienna, Austria, which is the Company’s research and development center; and Waltham, Massachusetts, which the Company has sublet to a third party. The Company previously had a lease agreement for a facility in Cambridge, Massachusetts, which served as its prior corporate headquarters. There are no restrictions or financial covenants associated with any of the lease agreements.</w:t>
      </w:r>
    </w:p>
    <w:p>
      <w:pPr>
        <w:spacing w:after="0" w:line="4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Boston Lease</w:t>
      </w:r>
      <w:r>
        <w:rPr>
          <w:rFonts w:ascii="Times New Roman" w:cs="Times New Roman" w:eastAsia="Times New Roman" w:hAnsi="Times New Roman"/>
          <w:sz w:val="14"/>
          <w:szCs w:val="14"/>
          <w:color w:val="auto"/>
        </w:rPr>
        <w:t>— The Company leases approximately 28,000 square feet of office space in Boston, Massachusetts (“Boston Lease”), which serves as the Company’s headquarters. Base rental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payments are approximately $1.0 million annually, plus certain operating expenses. The term of the Boston Lease will continue until November 2026, unless earlier terminated. The Company has the right to sublease the premises, subject to landlord consent and also has the right to renew the Boston Lease for an additional five years at the then prevailing effective market rental rate. The Company is required to maintain a security deposit in the form of a letter of credit for $0.9 million for the benefit of the landlord.</w:t>
      </w:r>
    </w:p>
    <w:p>
      <w:pPr>
        <w:spacing w:after="0" w:line="24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Waltham Lease— </w:t>
      </w:r>
      <w:r>
        <w:rPr>
          <w:rFonts w:ascii="Times New Roman" w:cs="Times New Roman" w:eastAsia="Times New Roman" w:hAnsi="Times New Roman"/>
          <w:sz w:val="14"/>
          <w:szCs w:val="14"/>
          <w:color w:val="auto"/>
        </w:rPr>
        <w:t>The Company leases approximately 6,000 square feet of office space in Waltham, Massachusetts (“Waltham Lease”). The Waltham Lease, as amended, commenced on January 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2019, and expires approximately five years from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commencement date. The base rent is approximately $0.3 million annually. In addition to the base rent, the Company is also responsible for its share of operating expenses, electricity and real estate taxes, which costs are not included in the determination of the leases’ right-of-use assets or lease liabilities. The Company is subleasing the space to a third party for the duration of the lease. The right-of-use asset is being amortized to rent expense over the five year term of the lease.</w:t>
      </w:r>
    </w:p>
    <w:p>
      <w:pPr>
        <w:spacing w:after="0" w:line="49"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Vienna Austria Leases— </w:t>
      </w:r>
      <w:r>
        <w:rPr>
          <w:rFonts w:ascii="Times New Roman" w:cs="Times New Roman" w:eastAsia="Times New Roman" w:hAnsi="Times New Roman"/>
          <w:sz w:val="14"/>
          <w:szCs w:val="14"/>
          <w:color w:val="auto"/>
        </w:rPr>
        <w:t>The Company has an operating lease for approximately 1,200 square meters of laboratory and office space in Vienna, Austria (“Vienna Lease”), which commenced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February 2021 for a term of seven years. The annual base rent for the Vienna Lease is approximately $300 thousand.</w:t>
      </w:r>
    </w:p>
    <w:p>
      <w:pPr>
        <w:spacing w:after="0" w:line="14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As the Company’s leases do not provide an implicit rate, the Company estimated the incremental borrowing rate in calculating the present value of the lease payments. The Company utilizes its incremental borrowing rates, which are the rates incurred to borrow on a collateralized basis over a similar term an amount equal to the lease payments in a similar economic environment.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for the three years ended December 31, 2022, 2021 and 2020 were as follows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16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1860" w:type="dxa"/>
            <w:vAlign w:val="bottom"/>
            <w:tcBorders>
              <w:top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4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r>
      <w:tr>
        <w:trPr>
          <w:trHeight w:val="17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operating lease cost</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2,080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2,087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1,290</w:t>
            </w: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157</w:t>
            </w:r>
          </w:p>
        </w:tc>
      </w:tr>
      <w:tr>
        <w:trPr>
          <w:trHeight w:val="171"/>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expense</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2,080</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2,129</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1,447</w:t>
            </w:r>
          </w:p>
        </w:tc>
      </w:tr>
      <w:tr>
        <w:trPr>
          <w:trHeight w:val="174"/>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1,354</w:t>
            </w:r>
          </w:p>
        </w:tc>
        <w:tc>
          <w:tcPr>
            <w:tcW w:w="5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3,820</w:t>
            </w:r>
          </w:p>
        </w:tc>
      </w:tr>
      <w:tr>
        <w:trPr>
          <w:trHeight w:val="254"/>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operating lease liabilities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1,343</w:t>
            </w:r>
          </w:p>
        </w:tc>
        <w:tc>
          <w:tcPr>
            <w:tcW w:w="120" w:type="dxa"/>
            <w:vAlign w:val="bottom"/>
          </w:tcPr>
          <w:p>
            <w:pPr>
              <w:spacing w:after="0"/>
              <w:rPr>
                <w:sz w:val="22"/>
                <w:szCs w:val="22"/>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5,090</w:t>
            </w:r>
          </w:p>
        </w:tc>
      </w:tr>
      <w:tr>
        <w:trPr>
          <w:trHeight w:val="18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term—operating leases</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years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5.0 years</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years</w:t>
            </w: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rate—operating leases</w:t>
            </w: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11.2 %</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196</w:t>
            </w:r>
          </w:p>
        </w:tc>
        <w:tc>
          <w:tcPr>
            <w:tcW w:w="5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194</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Maturities of lease liabilities due under lease agreements that have commenced as of December 31, 2022 are as follows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4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ind w:right="772"/>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0" w:type="dxa"/>
            <w:vAlign w:val="bottom"/>
          </w:tcPr>
          <w:p>
            <w:pPr>
              <w:spacing w:after="0"/>
              <w:rPr>
                <w:sz w:val="1"/>
                <w:szCs w:val="1"/>
                <w:color w:val="auto"/>
              </w:rPr>
            </w:pPr>
          </w:p>
        </w:tc>
      </w:tr>
      <w:tr>
        <w:trPr>
          <w:trHeight w:val="178"/>
        </w:trPr>
        <w:tc>
          <w:tcPr>
            <w:tcW w:w="868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0" w:type="dxa"/>
            <w:vAlign w:val="bottom"/>
          </w:tcPr>
          <w:p>
            <w:pPr>
              <w:spacing w:after="0"/>
              <w:rPr>
                <w:sz w:val="1"/>
                <w:szCs w:val="1"/>
                <w:color w:val="auto"/>
              </w:rPr>
            </w:pP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 and thereafter</w:t>
            </w:r>
          </w:p>
        </w:tc>
        <w:tc>
          <w:tcPr>
            <w:tcW w:w="4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7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4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0" w:type="dxa"/>
            <w:vAlign w:val="bottom"/>
          </w:tcPr>
          <w:p>
            <w:pPr>
              <w:spacing w:after="0"/>
              <w:rPr>
                <w:sz w:val="1"/>
                <w:szCs w:val="1"/>
                <w:color w:val="auto"/>
              </w:rPr>
            </w:pP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4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7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 as of December 31, 2022</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has agreements with clinical research organizations (“CROs”) pursuant to which the Company and the CROs are conducting clinical trials of mavorixafor for the treatment of WHIM syndrome, Waldenström’s and chronic neutropenia disorders. The Company may terminate these agreements by providing notice pursuant to the contractual provisions of such agreements and would incur early termination fees. The Company also has agreements with contract manufacturing organizations (“CMOs”) for the production of mavorixafor for use in clinical trials. The Company’s agreement with the CMO who produces batches of API for use in the Company’s clinical drug supply contains cancellation provisions that would require the Company to pay up to the full contract value upon cancellation. As of December 31, 2022, the Company has approximately $1.5 million of such commitments in place subject to cancellation provisions.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License Agreements— </w:t>
      </w:r>
      <w:r>
        <w:rPr>
          <w:rFonts w:ascii="Times New Roman" w:cs="Times New Roman" w:eastAsia="Times New Roman" w:hAnsi="Times New Roman"/>
          <w:sz w:val="14"/>
          <w:szCs w:val="14"/>
          <w:color w:val="auto"/>
        </w:rPr>
        <w:t>See Note 3 for a summary of the Company’s license agreements, which commit the Company to contingent milestone and royalty fees based on future operational events.</w:t>
      </w:r>
    </w:p>
    <w:p>
      <w:pPr>
        <w:spacing w:after="0" w:line="21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Indemnification Agreements— </w:t>
      </w: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to, among other things,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 obligations. The Company is not currently aware of any indemnification claims and has not accrued any liabilities related to such obligations in its consolidated financial statements as of December 31, 2022 or December 31, 2021.</w:t>
      </w:r>
    </w:p>
    <w:p>
      <w:pPr>
        <w:spacing w:after="0" w:line="14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Legal Proceedings— </w:t>
      </w:r>
      <w:r>
        <w:rPr>
          <w:rFonts w:ascii="Times New Roman" w:cs="Times New Roman" w:eastAsia="Times New Roman" w:hAnsi="Times New Roman"/>
          <w:sz w:val="14"/>
          <w:szCs w:val="14"/>
          <w:color w:val="auto"/>
        </w:rPr>
        <w:t>The Company is not a party to any litigation and does not have contingency reserves established for any litigation liabilities. At each reporting date, the Company evaluates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COMMON STOCK AND REDEEMABLE COMMON STOCK</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Common Stock— </w:t>
      </w:r>
      <w:r>
        <w:rPr>
          <w:rFonts w:ascii="Times New Roman" w:cs="Times New Roman" w:eastAsia="Times New Roman" w:hAnsi="Times New Roman"/>
          <w:sz w:val="14"/>
          <w:szCs w:val="14"/>
          <w:color w:val="auto"/>
        </w:rPr>
        <w:t>As of December 31, 2022, the Company’s Certificate of Incorporation, as amended and restated, authorizes the Company to issue 500 million shares of $0.001 par value common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if any. No cash dividends have been declared or paid to date.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Sales Agreement</w:t>
      </w:r>
    </w:p>
    <w:p>
      <w:pPr>
        <w:spacing w:after="0" w:line="25"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4"/>
          <w:szCs w:val="14"/>
          <w:color w:val="auto"/>
        </w:rPr>
        <w:t>On August 7, 2020, the Company entered into a Controlled Equity Offering</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Sales Agreement (the “ATM Sales Agreement”) with B. Riley Securities, Inc., Cantor Fitzgerald &amp; Co., and Stifel, Nicolaus &amp; Company, Incorporated (collectively the “Sales Agents”), pursuant to which the Company may offer and sell, at the Company’s sole discretion through one or more of the Sales Agents, shares of its common stock having an aggregate offering price of up to $50.0 million. To date, the Company has sold approximately $14.3 million, net of offering costs, of common stock under the ATM Sales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Q1 2021 Private Placement</w:t>
      </w:r>
    </w:p>
    <w:p>
      <w:pPr>
        <w:spacing w:after="0" w:line="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On March 18, 2021, the Company entered into a securities purchase agreement with several institutional and accredited investors pursuant to which the Company agreed to issue and sell in a private placement (the “Private Placement”) an aggregate of 6,271,836 shares of common stock, 229,885 shares of redeemable common stock and, to certain investors, in lieu of common stock, pre-funded warrants to purchase an aggregate of 50,000 shares of common stock at a price of $8.70 per share of common stock (or $8.69 per pre-funded warrant). The Private Placement closed on March 23, 2021 and the Company received gross proceeds of $55.0 million, before deducting offering expenses payable by the Company.</w:t>
      </w:r>
    </w:p>
    <w:p>
      <w:pPr>
        <w:spacing w:after="0" w:line="145" w:lineRule="exact"/>
        <w:rPr>
          <w:sz w:val="20"/>
          <w:szCs w:val="20"/>
          <w:color w:val="auto"/>
        </w:rPr>
      </w:pPr>
    </w:p>
    <w:p>
      <w:pPr>
        <w:jc w:val="both"/>
        <w:ind w:right="120"/>
        <w:spacing w:after="0" w:line="287" w:lineRule="auto"/>
        <w:rPr>
          <w:sz w:val="20"/>
          <w:szCs w:val="20"/>
          <w:color w:val="auto"/>
        </w:rPr>
      </w:pPr>
      <w:r>
        <w:rPr>
          <w:rFonts w:ascii="Times New Roman" w:cs="Times New Roman" w:eastAsia="Times New Roman" w:hAnsi="Times New Roman"/>
          <w:sz w:val="14"/>
          <w:szCs w:val="14"/>
          <w:color w:val="auto"/>
        </w:rPr>
        <w:t>In August 2021, the investor who purchased the redeemable common stock exercised its option to sell its 229,885 shares of redeemable common stock back to the Company at the original purchase price of $8.70 per share for an aggregate of $2.0 million. The Company adjusted the carrying amount of the redeemable common stock to its redemption value and subsequently retired these shares.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Lincoln Park Capital Fund Purchase Agreement</w:t>
      </w:r>
    </w:p>
    <w:p>
      <w:pPr>
        <w:spacing w:after="0" w:line="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On January 14, 2022, the Company and Lincoln Park Capital Fund, LLC (“Lincoln Park”) entered into a securities purchase agreement (the “LPC Purchase Agreement”) and a registration rights agreement (the “Registration Rights Agreement”), pursuant to which the Company has the right to sell shares of common stock to Lincoln Park, having an aggregate value of up to $50.0 million, subject to certain limitations and conditions set forth in the LPC Purchase Agreement, at the Company’s request from time to time during the 36-month term of the LPC Purchase Agreement. In consideration for entering into the LPC Purchase Agreement, the Company issued 230,414 shares of common stock to Lincoln Park as an initial commitment fee. Upon execution of the LPC Purchase Agreement and the Registration Rights Agreement on January 14, 2022, the Company sold to Lincoln Park, as an initial purchase under the LPC Purchase Agreement, a total of 1,382,488 shares of common stock, at a per share price of $2.17 per share, for aggregate consideration of approximately $3.0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Q1 2022 PIPE</w:t>
      </w:r>
    </w:p>
    <w:p>
      <w:pPr>
        <w:spacing w:after="0" w:line="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On March 3, 2022, the Company entered into a securities purchase agreement pursuant to which it agreed to issue and sell to an investor, in a private placement (the “Q1 2022 PIPE”), 900,000 shares of common stock at a price of $1.80 per share, which represents the volume weighted average price per share of the Company’s common stock as quoted on the Nasdaq Stock Market for the thirty</w:t>
      </w:r>
    </w:p>
    <w:p>
      <w:pPr>
        <w:ind w:right="160" w:firstLine="5"/>
        <w:spacing w:after="0" w:line="257" w:lineRule="auto"/>
        <w:tabs>
          <w:tab w:leader="none" w:pos="27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consecutive-day trading day period ending on March 2, 2022, and pre-funded warrants to purchase 766,666 shares of common stock at a purchase price of $1.79 per pre-funded warrant (representing the price of $1.80 per share minus the $0.01 per share exercise price of each such prefunded warrant). The pre-funded warrants are exercisable at any time after their original issuance date and will have no expiration date. The Q1 2022 PIPE closed on March 7, 2022 and the Company received gross proceeds of $3.0 million, before deducting offering expenses payable by the Company. In accordance with an associated registration rights agreement, the Company filed a registration statement covering the resale of these securities in April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Q2 2022 PIPE</w:t>
      </w:r>
    </w:p>
    <w:p>
      <w:pPr>
        <w:spacing w:after="0" w:line="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On June 30, 2022, the Company entered into a securities purchase agreement with several institutional and accredited investors pursuant to which the Company agreed to issue in a private placement (the “Q2 2022 PIPE”) an aggregate of 37,649,086 shares of common stock and, to certain investors, in lieu of common stock, pre-funded warrants to purchase an aggregate of 13,276,279 shares of common stock at a price of $1.095 per share of common stock (or $1.094 per pre-funded warrant) and 50,925,365 warrants (the “Warrants”) for the purchase of shares of common stock. Each Warrant has an exercise price equal to $1.095 per share and will expire on the date that is 60 months from their original issue date. The price per pre-funded warrant represents the price of $1.095 per share sold in the Q2 2022 PIPE, minus the $0.001 per share exercise price of each such pre-funded warrant. The pre-funded warrants are exercisable, subject to certain beneficial ownership restrictions, at any time after their original issuance and will not expire. The Q2 2022 PIPE closed on July 6, 2022 and the Company received gross proceeds of $55.7 million, before deducting offering expenses paid by the Company.</w:t>
      </w:r>
    </w:p>
    <w:p>
      <w:pPr>
        <w:spacing w:after="0" w:line="1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exercise of any Warrant was conditioned upon the Company increasing its authorized shares. Accordingly, the Company convened a special meeting of its stockholders on September 1, 2022, during which the stockholders approved an increase in the number of authorized shares of common stock from 125 million to 500 million pursuant to an amendment to the Company’s Certificate of Incorporation. As of July 6, 2022, due to the shortfall in authorized and available common shares, the Warrants did not meet the criteria required for permanent equity accounting. As a result, the Company allocated $41.2 million of the gross proceeds from the offering to the fair value of the Warrants, which was recorded as a warrant liability, and the remaining $13.5 million was allocated to the common shares and pre-funded warrants and recorded as permanent equity. The fair value of the warrant liability was calculated using the Black-Scholes option valuation model. The Company also allocated a portion of the transaction fees, including commissions and legal fees, to the warrant liability and expensed within other expense, net, approximately $2.9 million of these fees upon the closing of the Q2 2022 PIPE. Upon shareholder approval of the increase to the Company’s authorized shares, the Warrants met all criteria required for permanent equity accounting and, accordingly, the Company remeasured the fair value of the warrant liability through earnings, which resulted in approximately $2.5 million of income included within other income (expense) and reclassified the fair value of the warrant liability to additional paid-in capital.</w:t>
      </w:r>
    </w:p>
    <w:p>
      <w:pPr>
        <w:spacing w:after="0" w:line="1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Also on June 30, 2022, the Company entered into a registration rights agreement, pursuant to which the Company agreed to register for resale the common shares issued in the Q2 2022 PIPE and the issuance of the shares of common stock underlying the Pre-Funded Warrants and the Warrants sold in the offering. Such registration statement was filed on July 29, 2022 and was declared effective by the SEC on August 5,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Q4 2022 Public Offering</w:t>
      </w:r>
    </w:p>
    <w:p>
      <w:pPr>
        <w:spacing w:after="0" w:line="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4"/>
          <w:szCs w:val="14"/>
          <w:color w:val="auto"/>
        </w:rPr>
        <w:t>On December 7, 2022, the Company sold 52,300,000 shares of common stock and, in lieu of common stock, prefunded warrants to purchase 6,800,000 shares of common stock, and accompanying Class C warrants to purchase 32,762,947 shares of its common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stock. The common stock was issued at a price to the public of $1.10 per share and the accompanying Class C warrants and prefunded warrants were issued at a price of $1.099 per prefunded warrant and accompanying Class C warrant. The Class C warrants have an exercise price of $1.50, will expire 5 years from the date of issuance, and are immediately exercisable with certain restrictions. The gross proceeds from the offering, which closed on December 9, 2022, were $65.1 million before deducting underwriting discounts and offering expenses.</w:t>
      </w:r>
    </w:p>
    <w:p>
      <w:pPr>
        <w:spacing w:after="0" w:line="15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 Company has concluded that the Class C warrants do not meet the equity contract scope exception under ASC 815-40 as in the event of a fundamental transaction such as a merger certain provisions may require the Company to adjust the settlement value that is not consistent with a fixed-for-fixed option pricing model. As a result, as of issuance date, the Company allocated $21.5 million of the gross proceeds from the offering to the Class C Warrants based on their fair value, which was recorded as a warrant liability, and the remaining $43.6 million was allocated to the common shares and pre-funded warrants and recorded as permanent equity. The warrant liability was subsequently adjusted to fair value at December 31, 2022 and will be adjusted to fair value at each subsequent balance sheet date until the warrants are settled. Changes in fair value of the warrants are recognized as a component of other income (expense), net in the consolidated statement of operations and comprehensive loss.</w:t>
      </w:r>
    </w:p>
    <w:p>
      <w:pPr>
        <w:spacing w:after="0" w:line="16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The fair value of the warrant liability was calculated using the Black-Scholes option valuation model as further described in Note 4. The Company also allocated a portion of the transaction fees, including commissions and legal fees, to the Class C Warrant liability and expensed within other expense, net, approximately $1.7 million of these fees upon the closing of the Q4 2022 Public Offering.</w:t>
      </w:r>
    </w:p>
    <w:p>
      <w:pPr>
        <w:spacing w:after="0" w:line="13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 xml:space="preserve">For each of the common stock offerings, the Company evaluated the common stock, warrants and prefunded warrants for liability or equity classification in accordance with the provisions of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and ASC 815-40,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and, other than as described above for warrants issued in the Q2 2022 PIPE and the Q4 2022 Public Offering, determined that equity treatment was appropriate as the warrants and prefunded warrants did not meet the definition of a liability.</w:t>
      </w:r>
    </w:p>
    <w:p>
      <w:pPr>
        <w:spacing w:after="0" w:line="200" w:lineRule="exact"/>
        <w:rPr>
          <w:sz w:val="20"/>
          <w:szCs w:val="20"/>
          <w:color w:val="auto"/>
        </w:rPr>
      </w:pPr>
    </w:p>
    <w:p>
      <w:pPr>
        <w:spacing w:after="0" w:line="3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COMMON STOCK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Warrants</w:t>
      </w:r>
    </w:p>
    <w:p>
      <w:pPr>
        <w:spacing w:after="0" w:line="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connection with its issuance of common stock in public offerings that closed on April 16, 2019, the Company issued 3,900,000 Class A warrants, which are exercisable for shares of the Company's common stock or prefunded warrants to purchase shares of the Company's common stock. The Class A warrants have an exercise price of $13.20 per warrant, expire on April 15, 2024 and were immediately exercisable upon issuance.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B Warrants</w:t>
      </w:r>
    </w:p>
    <w:p>
      <w:pPr>
        <w:spacing w:after="0" w:line="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4"/>
          <w:szCs w:val="14"/>
          <w:color w:val="auto"/>
        </w:rPr>
        <w:t>In connection with its issuance of common stock in public offerings that closed on November 29, 2019, the Company issued 5,416,667 Class B warrants, which are exercisable for shares of the Company's common stock or prefunded warrants to purchase shares of the Company's common stock.</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Class B warrants were immediately exercisable upon issuance, had an initial exercise price of $15.00 per share, which in accordance with the Class B warrant agreement was subsequently reduced to the price at which the Company sold its common shares in public offering or private placements. The Class B warrants expired in accordance with the Class B warrant agreement on December 29, 2022, which was 30 calendar days from the date on which the Company issued a press release announcing top-line data from its Phase 3 clinical trial of mavorixafor for the treatment of patients with WHIM syndrome.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Q2 PIPE Warrants</w:t>
      </w:r>
    </w:p>
    <w:p>
      <w:pPr>
        <w:spacing w:after="0" w:line="25"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4"/>
          <w:szCs w:val="14"/>
          <w:color w:val="auto"/>
        </w:rPr>
        <w:t>In connection withe its issuance of common stock and prefunded warrants in a private placement that closed on July 6, 2022, the Company issued warrants to purchase an aggregate of 50,925,365 warrants (the “Warrants”) for the purchase of shares of common stock. Each Warrant has an exercise price equal to $1.095 per share and will expire on the date that is 60 months from their original issue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C Warrants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its issuance of common stock in public offerings that closed on December 9, 2022, the Company issued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65,525,894 Class C warrants, which are exercisable at two Class C warrants for one share of the Company's common stock or prefunded warrants to purchase shares of the Company's 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Class C warrants have an exercise price of $1.50 per set of two Class C warrants, expire on December 9, 2027 and were immediately exercisable upon issuance.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Pre-funded Warrants</w:t>
      </w:r>
    </w:p>
    <w:p>
      <w:pPr>
        <w:spacing w:after="0" w:line="25"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4"/>
          <w:szCs w:val="14"/>
          <w:color w:val="auto"/>
        </w:rPr>
        <w:t>In connection with the sale of its common stock in public offerings and private placements, the Company has issued pre-funded warrants to purchase shares of its common stock. The price per pre-funded warrant represents the price per share sold in the public offering or private placement, minus a nominal exercise price of either $0.001 or $0.01 per share, in accordance with the applicable pre-funded warrant agreement. The pre-funded warrants are exercisable, subject to certain beneficial ownership restrictions, at any time after their original issuance and will not expire.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roll forward of outstanding warrants and pre-funded warrants for the purchase of shares of the Company’s common stock for the three years ended December 31,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38"/>
        </w:trPr>
        <w:tc>
          <w:tcPr>
            <w:tcW w:w="6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Average</w:t>
            </w:r>
          </w:p>
        </w:tc>
      </w:tr>
      <w:tr>
        <w:trPr>
          <w:trHeight w:val="127"/>
        </w:trPr>
        <w:tc>
          <w:tcPr>
            <w:tcW w:w="6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Contractual</w:t>
            </w:r>
          </w:p>
        </w:tc>
      </w:tr>
      <w:tr>
        <w:trPr>
          <w:trHeight w:val="149"/>
        </w:trPr>
        <w:tc>
          <w:tcPr>
            <w:tcW w:w="6620" w:type="dxa"/>
            <w:vAlign w:val="bottom"/>
          </w:tcPr>
          <w:p>
            <w:pPr>
              <w:spacing w:after="0"/>
              <w:rPr>
                <w:sz w:val="12"/>
                <w:szCs w:val="12"/>
                <w:color w:val="auto"/>
              </w:rPr>
            </w:pPr>
          </w:p>
        </w:tc>
        <w:tc>
          <w:tcPr>
            <w:tcW w:w="150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Number of warrants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Term (Years)</w:t>
            </w:r>
          </w:p>
        </w:tc>
      </w:tr>
      <w:tr>
        <w:trPr>
          <w:trHeight w:val="30"/>
        </w:trPr>
        <w:tc>
          <w:tcPr>
            <w:tcW w:w="6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exercisable as of December 31, 2020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13,354,403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91"/>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2,058,032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(2,130,000)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r>
      <w:tr>
        <w:trPr>
          <w:trHeight w:val="17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exercisable as of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13,257,160</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0"/>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104,531,257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(5,416,567)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r>
      <w:tr>
        <w:trPr>
          <w:trHeight w:val="19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exercisable as of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111,871,750</w:t>
            </w:r>
          </w:p>
        </w:tc>
        <w:tc>
          <w:tcPr>
            <w:tcW w:w="3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the Company’s outstanding warrants and pre-funded warrants to purchase shares of common stock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Issuance Date</w:t>
            </w:r>
          </w:p>
        </w:tc>
        <w:tc>
          <w:tcPr>
            <w:tcW w:w="140" w:type="dxa"/>
            <w:vAlign w:val="bottom"/>
          </w:tcPr>
          <w:p>
            <w:pPr>
              <w:spacing w:after="0"/>
              <w:rPr>
                <w:sz w:val="12"/>
                <w:szCs w:val="12"/>
                <w:color w:val="auto"/>
              </w:rPr>
            </w:pPr>
          </w:p>
        </w:tc>
        <w:tc>
          <w:tcPr>
            <w:tcW w:w="2780" w:type="dxa"/>
            <w:vAlign w:val="bottom"/>
            <w:tcBorders>
              <w:top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Number of Shares of Common</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2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1"/>
                <w:szCs w:val="11"/>
                <w:b w:val="1"/>
                <w:bCs w:val="1"/>
                <w:color w:val="auto"/>
              </w:rPr>
              <w:t>Expiration Date</w:t>
            </w: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tcPr>
          <w:p>
            <w:pPr>
              <w:jc w:val="right"/>
              <w:ind w:right="977"/>
              <w:spacing w:after="0"/>
              <w:rPr>
                <w:sz w:val="20"/>
                <w:szCs w:val="20"/>
                <w:color w:val="auto"/>
              </w:rPr>
            </w:pPr>
            <w:r>
              <w:rPr>
                <w:rFonts w:ascii="Times New Roman" w:cs="Times New Roman" w:eastAsia="Times New Roman" w:hAnsi="Times New Roman"/>
                <w:sz w:val="11"/>
                <w:szCs w:val="11"/>
                <w:b w:val="1"/>
                <w:bCs w:val="1"/>
                <w:color w:val="auto"/>
              </w:rPr>
              <w:t>Stock Issuable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40"/>
        </w:trPr>
        <w:tc>
          <w:tcPr>
            <w:tcW w:w="3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18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25, 2016</w:t>
            </w:r>
          </w:p>
        </w:tc>
        <w:tc>
          <w:tcPr>
            <w:tcW w:w="140" w:type="dxa"/>
            <w:vAlign w:val="bottom"/>
            <w:shd w:val="clear" w:color="auto" w:fill="CCEEFF"/>
          </w:tcPr>
          <w:p>
            <w:pPr>
              <w:spacing w:after="0"/>
              <w:rPr>
                <w:sz w:val="15"/>
                <w:szCs w:val="15"/>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5,155</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8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October 24, 2026</w:t>
            </w:r>
          </w:p>
        </w:tc>
      </w:tr>
      <w:tr>
        <w:trPr>
          <w:trHeight w:val="18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28, 2017</w:t>
            </w:r>
          </w:p>
        </w:tc>
        <w:tc>
          <w:tcPr>
            <w:tcW w:w="2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115,916</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80" w:type="dxa"/>
            <w:vAlign w:val="bottom"/>
          </w:tcPr>
          <w:p>
            <w:pPr>
              <w:spacing w:after="0"/>
              <w:rPr>
                <w:sz w:val="16"/>
                <w:szCs w:val="16"/>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December 28, 2027</w:t>
            </w:r>
          </w:p>
        </w:tc>
      </w:tr>
      <w:tr>
        <w:trPr>
          <w:trHeight w:val="19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12, 2018</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20,220</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80" w:type="dxa"/>
            <w:vAlign w:val="bottom"/>
            <w:shd w:val="clear" w:color="auto" w:fill="CCEEFF"/>
          </w:tcPr>
          <w:p>
            <w:pPr>
              <w:spacing w:after="0"/>
              <w:rPr>
                <w:sz w:val="16"/>
                <w:szCs w:val="16"/>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September 12, 2028</w:t>
            </w:r>
          </w:p>
        </w:tc>
      </w:tr>
      <w:tr>
        <w:trPr>
          <w:trHeight w:val="18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October 19, 2018</w:t>
            </w:r>
          </w:p>
        </w:tc>
        <w:tc>
          <w:tcPr>
            <w:tcW w:w="2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20,016</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80" w:type="dxa"/>
            <w:vAlign w:val="bottom"/>
          </w:tcPr>
          <w:p>
            <w:pPr>
              <w:spacing w:after="0"/>
              <w:rPr>
                <w:sz w:val="16"/>
                <w:szCs w:val="16"/>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October 19, 2028</w:t>
            </w:r>
          </w:p>
        </w:tc>
      </w:tr>
      <w:tr>
        <w:trPr>
          <w:trHeight w:val="19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March 13, 2019</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80" w:type="dxa"/>
            <w:vAlign w:val="bottom"/>
            <w:shd w:val="clear" w:color="auto" w:fill="CCEEFF"/>
          </w:tcPr>
          <w:p>
            <w:pPr>
              <w:spacing w:after="0"/>
              <w:rPr>
                <w:sz w:val="16"/>
                <w:szCs w:val="16"/>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March 12, 2029</w:t>
            </w:r>
          </w:p>
        </w:tc>
      </w:tr>
      <w:tr>
        <w:trPr>
          <w:trHeight w:val="18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April 16, 2019</w:t>
            </w:r>
          </w:p>
        </w:tc>
        <w:tc>
          <w:tcPr>
            <w:tcW w:w="2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3,866,154</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280" w:type="dxa"/>
            <w:vAlign w:val="bottom"/>
          </w:tcPr>
          <w:p>
            <w:pPr>
              <w:spacing w:after="0"/>
              <w:rPr>
                <w:sz w:val="16"/>
                <w:szCs w:val="16"/>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April 15, 2024</w:t>
            </w:r>
          </w:p>
        </w:tc>
      </w:tr>
      <w:tr>
        <w:trPr>
          <w:trHeight w:val="18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29, 2019</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n/a</w:t>
            </w: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23, 2021</w:t>
            </w:r>
          </w:p>
        </w:tc>
        <w:tc>
          <w:tcPr>
            <w:tcW w:w="2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2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n/a</w:t>
            </w: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9, 2021</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2,008,032</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n/a</w:t>
            </w: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3, 2022</w:t>
            </w:r>
          </w:p>
        </w:tc>
        <w:tc>
          <w:tcPr>
            <w:tcW w:w="2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766,666</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2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n/a</w:t>
            </w: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6, 2022</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13,276,279</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n/a</w:t>
            </w: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July 6, 2022</w:t>
            </w:r>
          </w:p>
        </w:tc>
        <w:tc>
          <w:tcPr>
            <w:tcW w:w="2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50,925,365</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280" w:type="dxa"/>
            <w:vAlign w:val="bottom"/>
          </w:tcPr>
          <w:p>
            <w:pPr>
              <w:spacing w:after="0"/>
              <w:rPr>
                <w:sz w:val="15"/>
                <w:szCs w:val="15"/>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July 6, 2027</w:t>
            </w: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9, 2022</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32,762,947</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December 9, 2027</w:t>
            </w:r>
          </w:p>
        </w:tc>
      </w:tr>
      <w:tr>
        <w:trPr>
          <w:trHeight w:val="180"/>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December 9, 2022</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6,800,000</w:t>
            </w:r>
          </w:p>
        </w:tc>
        <w:tc>
          <w:tcPr>
            <w:tcW w:w="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w:t>
            </w:r>
          </w:p>
        </w:tc>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n/a</w:t>
            </w:r>
          </w:p>
        </w:tc>
      </w:tr>
      <w:tr>
        <w:trPr>
          <w:trHeight w:val="183"/>
        </w:trPr>
        <w:tc>
          <w:tcPr>
            <w:tcW w:w="3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111,871,750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spacing w:after="0"/>
              <w:rPr>
                <w:sz w:val="15"/>
                <w:szCs w:val="15"/>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r>
    </w:tbl>
    <w:p>
      <w:pPr>
        <w:spacing w:after="0" w:line="53" w:lineRule="exact"/>
        <w:rPr>
          <w:sz w:val="20"/>
          <w:szCs w:val="20"/>
          <w:color w:val="auto"/>
        </w:rPr>
      </w:pPr>
    </w:p>
    <w:p>
      <w:pPr>
        <w:ind w:left="680" w:hanging="166"/>
        <w:spacing w:after="0"/>
        <w:tabs>
          <w:tab w:leader="none" w:pos="6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2019, the Company received $11.999 per pre-funded warrant, or $21.0 million in aggregate proceeds. Each pre-funded warrant may be exercised for an additional $0.001 per pre-funded warrant;</w:t>
      </w:r>
    </w:p>
    <w:p>
      <w:pPr>
        <w:spacing w:after="0" w:line="27" w:lineRule="exact"/>
        <w:rPr>
          <w:rFonts w:ascii="Times New Roman" w:cs="Times New Roman" w:eastAsia="Times New Roman" w:hAnsi="Times New Roman"/>
          <w:sz w:val="12"/>
          <w:szCs w:val="12"/>
          <w:color w:val="auto"/>
        </w:rPr>
      </w:pPr>
    </w:p>
    <w:p>
      <w:pPr>
        <w:ind w:left="520" w:right="20" w:hanging="6"/>
        <w:spacing w:after="0" w:line="246" w:lineRule="auto"/>
        <w:tabs>
          <w:tab w:leader="none" w:pos="7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March 2021, the Company received $8.69 per pre-funded warrant, or $435 thousand in aggregate proceeds. Each pre-funded warrant may be exercised for an additional $0.01 per pre-funded warrant; (c) In November 2021, the Company received $4.97 per pre-funded warrant, or $10.0 million in aggregate proceeds. Each pre-funded warrant may be exercised for an additional $0.01 per pre-funded warrant; (d) In March 2022, the Company received $1.79 per pre-funded warrant, or $1.40 million in aggregate proceeds. Each pre-funded warrant may be exercised for an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520" w:right="100"/>
        <w:spacing w:after="0" w:line="259" w:lineRule="auto"/>
        <w:rPr>
          <w:sz w:val="20"/>
          <w:szCs w:val="20"/>
          <w:color w:val="auto"/>
        </w:rPr>
      </w:pPr>
      <w:r>
        <w:rPr>
          <w:rFonts w:ascii="Times New Roman" w:cs="Times New Roman" w:eastAsia="Times New Roman" w:hAnsi="Times New Roman"/>
          <w:sz w:val="13"/>
          <w:szCs w:val="13"/>
          <w:color w:val="auto"/>
        </w:rPr>
        <w:t xml:space="preserve">additional $0.01 per pre-funded warrant; </w:t>
      </w:r>
      <w:r>
        <w:rPr>
          <w:rFonts w:ascii="Arial" w:cs="Arial" w:eastAsia="Arial" w:hAnsi="Arial"/>
          <w:sz w:val="13"/>
          <w:szCs w:val="13"/>
          <w:color w:val="auto"/>
        </w:rPr>
        <w:t>(</w:t>
      </w:r>
      <w:r>
        <w:rPr>
          <w:rFonts w:ascii="Times New Roman" w:cs="Times New Roman" w:eastAsia="Times New Roman" w:hAnsi="Times New Roman"/>
          <w:sz w:val="13"/>
          <w:szCs w:val="13"/>
          <w:color w:val="auto"/>
        </w:rPr>
        <w:t>e) In July 2022, the Company received $1.094 per pre-funded warrant, or $14.5 million in aggregate proceeds. Each pre-funded warrant may be exercised for an additional $0.001 per pre-funded warrant; and (f) In December 2022, the Company received $1.099 per pre-funded warrant, or $7.5 million in aggregate proceeds. Each pre-funded warrant may be exercised for an additional $0.001 per pre-funded warrant.</w:t>
      </w:r>
    </w:p>
    <w:p>
      <w:pPr>
        <w:spacing w:after="0" w:line="200" w:lineRule="exact"/>
        <w:rPr>
          <w:sz w:val="20"/>
          <w:szCs w:val="20"/>
          <w:color w:val="auto"/>
        </w:rPr>
      </w:pP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STOCK-BASED COMPENSATION</w:t>
      </w:r>
    </w:p>
    <w:p>
      <w:pPr>
        <w:spacing w:after="0" w:line="200" w:lineRule="exact"/>
        <w:rPr>
          <w:sz w:val="20"/>
          <w:szCs w:val="20"/>
          <w:color w:val="auto"/>
        </w:rPr>
      </w:pPr>
    </w:p>
    <w:p>
      <w:pPr>
        <w:jc w:val="both"/>
        <w:ind w:right="2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Summary of Plans— </w:t>
      </w:r>
      <w:r>
        <w:rPr>
          <w:rFonts w:ascii="Times New Roman" w:cs="Times New Roman" w:eastAsia="Times New Roman" w:hAnsi="Times New Roman"/>
          <w:sz w:val="14"/>
          <w:szCs w:val="14"/>
          <w:color w:val="auto"/>
        </w:rPr>
        <w:t>The Company issues stock awards under the following plans: (a) The 2015 Employee, Director and Consultant Equity Incentive Plan, as amended (the “2015 Plan”), (b)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Amended and Restated 2017 Equity Incentive Plan (the “2017 Plan”), (c) the 2017 Employee Stock Purchase Plan (the “2017 ESPP”) and the 2019 Inducement Equity Incentive Plan (the “2019 Plan”).</w:t>
      </w:r>
    </w:p>
    <w:p>
      <w:pPr>
        <w:spacing w:after="0" w:line="5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These plans are administered by the Board of Directors or by a committee thereof. The exercise prices, vesting and other restrictions are determined at the discretion of the Board of Directors, or its committee if so delegated, except that the exercise price per share of stock options may not be less than 100% of the fair market value of the share of common stock on the date of grant and the term of the stock option may not be greater than ten years. Incentive stock options granted to employees and restricted stock awards granted to employees, officers, members of the Board of Directors, advisors, and consultants of the Company typically vest over four years. Non-statutory options granted to employees, officers, members of the Board of Directors, advisors, and consultants of the Company typically vest over three or four years. Shares that are expired, terminated, surrendered or canceled under the Plans without having been fully exercised will be available for future awards. In addition, shares of common stock that are tendered to the Company by a participant to exercise an award are added to the number of shares of common stock available for the grant of awards.</w:t>
      </w:r>
    </w:p>
    <w:p>
      <w:pPr>
        <w:spacing w:after="0" w:line="144"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2015 Employee, Director and Consultant Equity Incentive Plan—</w:t>
      </w:r>
      <w:r>
        <w:rPr>
          <w:rFonts w:ascii="Times New Roman" w:cs="Times New Roman" w:eastAsia="Times New Roman" w:hAnsi="Times New Roman"/>
          <w:sz w:val="14"/>
          <w:szCs w:val="14"/>
          <w:color w:val="auto"/>
        </w:rPr>
        <w:t>Under the 2015 Plan, the Company grants incentive stock options, nonqualified stock options, restricted stock awards and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stock-based awards to employees, directors and consultants of the Company. As of December 31, 2022, there were approximately 19 thousand shares available for issuance under the 2015 Plan.</w:t>
      </w:r>
    </w:p>
    <w:p>
      <w:pPr>
        <w:spacing w:after="0" w:line="12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2017 Equity Incentive Plan— </w:t>
      </w:r>
      <w:r>
        <w:rPr>
          <w:rFonts w:ascii="Times New Roman" w:cs="Times New Roman" w:eastAsia="Times New Roman" w:hAnsi="Times New Roman"/>
          <w:sz w:val="14"/>
          <w:szCs w:val="14"/>
          <w:color w:val="auto"/>
        </w:rPr>
        <w:t>Under the 2017 Plan, the Company may grant incentive stock options, non-qualified options, stock appreciation rights, restricted stock awards, restricted stock units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other stock-based awards. Under an “evergreen” provision of the 2017 Plan, shares of common stock reserved for issuance under the 2017 Plan are increased annually on the first day of each</w:t>
      </w:r>
    </w:p>
    <w:p>
      <w:pPr>
        <w:ind w:right="40"/>
        <w:spacing w:after="0" w:line="270" w:lineRule="auto"/>
        <w:rPr>
          <w:sz w:val="20"/>
          <w:szCs w:val="20"/>
          <w:color w:val="auto"/>
        </w:rPr>
      </w:pPr>
      <w:r>
        <w:rPr>
          <w:rFonts w:ascii="Times New Roman" w:cs="Times New Roman" w:eastAsia="Times New Roman" w:hAnsi="Times New Roman"/>
          <w:sz w:val="14"/>
          <w:szCs w:val="14"/>
          <w:color w:val="auto"/>
        </w:rPr>
        <w:t>year, beginning on January 1, 2021 and ending on January 1, 2027, in an amount equal to the lower of 4.0% of the number of shares of the Company’s common stock outstanding on January 1 of each year or an amount determined by the Company’s Board of Directors. As of December 31, 2022, approximately 298 thousand shares were available for future issuance under the 2017 Plan. As of January 1, 2023, an additional 4.8 million shares became available for future issuance under the 2017 Plan under the evergreen provision.</w:t>
      </w:r>
    </w:p>
    <w:p>
      <w:pPr>
        <w:spacing w:after="0" w:line="13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2017 Employee Stock Purchase Plan— </w:t>
      </w:r>
      <w:r>
        <w:rPr>
          <w:rFonts w:ascii="Times New Roman" w:cs="Times New Roman" w:eastAsia="Times New Roman" w:hAnsi="Times New Roman"/>
          <w:sz w:val="14"/>
          <w:szCs w:val="14"/>
          <w:color w:val="auto"/>
        </w:rPr>
        <w:t>The 2017 ESPP provides participating employees with the opportunity to purchase shares of the Company’s common stock at defined purchase prices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six-month offering periods. For the twelve months ended December 31, 2022, 204,903 shares of common stock were issued under the 2017 ESPP. As of December 31, 2022, approximately 64 thousand shares were available for future issuance under the 2017 ESPP. Pursuant to the evergreen provision of the 2017 ESPP, on January 1, 2023, an additional 85 thousand shares became available for future issuance under the 2017 ESPP.</w:t>
      </w:r>
    </w:p>
    <w:p>
      <w:pPr>
        <w:spacing w:after="0" w:line="1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2019 Inducement Equity Incentive Plan— </w:t>
      </w:r>
      <w:r>
        <w:rPr>
          <w:rFonts w:ascii="Times New Roman" w:cs="Times New Roman" w:eastAsia="Times New Roman" w:hAnsi="Times New Roman"/>
          <w:sz w:val="14"/>
          <w:szCs w:val="14"/>
          <w:color w:val="auto"/>
        </w:rPr>
        <w:t>On June 17, 2019, the Board of Directors approved the adoption of the 2019 Plan, as amended, which is used exclusively for the grant of equity awards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individuals who were not previously employees of the Company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or following a bona fide period of non-employment), as an inducement material to such individual’s entering into employment with the Company, pursuant to Nasdaq Listing Rule 5635(c)(4). The total number of shares of common stock that may be issued under the 2019 Plan, as amended, is 2.3 million shares. Shares that are expired, forfeited, canceled or otherwise terminated without having been fully exercised will be available for future grant under the 2019 Plan. In addition, shares of common stock that are tendered to the Company by a participant to exercise an award are added to the number of shares of common stock available for future grants. As of December 31, 2022, approximately 1.3 million shares were available for future issuance under the 2019 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Option Valuation— </w:t>
      </w:r>
      <w:r>
        <w:rPr>
          <w:rFonts w:ascii="Times New Roman" w:cs="Times New Roman" w:eastAsia="Times New Roman" w:hAnsi="Times New Roman"/>
          <w:sz w:val="14"/>
          <w:szCs w:val="14"/>
          <w:color w:val="auto"/>
        </w:rPr>
        <w:t>The following table presents, on a weighted average basis, the assumptions used in the Black-Scholes option-pricing model to determine the grant-date fair value of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options granted:</w:t>
      </w:r>
    </w:p>
    <w:p>
      <w:pPr>
        <w:jc w:val="center"/>
        <w:ind w:left="7140"/>
        <w:spacing w:after="0" w:line="230" w:lineRule="auto"/>
        <w:rPr>
          <w:sz w:val="20"/>
          <w:szCs w:val="20"/>
          <w:color w:val="auto"/>
        </w:rPr>
      </w:pPr>
      <w:r>
        <w:rPr>
          <w:rFonts w:ascii="Times New Roman" w:cs="Times New Roman" w:eastAsia="Times New Roman" w:hAnsi="Times New Roman"/>
          <w:sz w:val="11"/>
          <w:szCs w:val="11"/>
          <w:b w:val="1"/>
          <w:bCs w:val="1"/>
          <w:color w:val="auto"/>
        </w:rPr>
        <w:t>Year Ended</w:t>
      </w:r>
    </w:p>
    <w:p>
      <w:pPr>
        <w:jc w:val="center"/>
        <w:ind w:left="71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17145</wp:posOffset>
            </wp:positionV>
            <wp:extent cx="258699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9">
                      <a:extLst>
                        <a:ext uri="{28A0092B-C50C-407E-A947-70E740481C1C}"/>
                      </a:extLst>
                    </a:blip>
                    <a:srcRect/>
                    <a:stretch>
                      <a:fillRect/>
                    </a:stretch>
                  </pic:blipFill>
                  <pic:spPr bwMode="auto">
                    <a:xfrm>
                      <a:off x="0" y="0"/>
                      <a:ext cx="2586990" cy="6985"/>
                    </a:xfrm>
                    <a:prstGeom prst="rect">
                      <a:avLst/>
                    </a:prstGeom>
                    <a:noFill/>
                  </pic:spPr>
                </pic:pic>
              </a:graphicData>
            </a:graphic>
          </wp:anchor>
        </w:drawing>
      </w:r>
    </w:p>
    <w:p>
      <w:pPr>
        <w:spacing w:after="0" w:line="30" w:lineRule="exact"/>
        <w:rPr>
          <w:sz w:val="20"/>
          <w:szCs w:val="20"/>
          <w:color w:val="auto"/>
        </w:rPr>
      </w:pPr>
    </w:p>
    <w:p>
      <w:pPr>
        <w:ind w:left="7720"/>
        <w:spacing w:after="0"/>
        <w:tabs>
          <w:tab w:leader="none" w:pos="9100" w:val="left"/>
          <w:tab w:leader="none" w:pos="10480" w:val="left"/>
        </w:tabs>
        <w:rPr>
          <w:sz w:val="20"/>
          <w:szCs w:val="20"/>
          <w:color w:val="auto"/>
        </w:rPr>
      </w:pPr>
      <w:r>
        <w:rPr>
          <w:rFonts w:ascii="Times New Roman" w:cs="Times New Roman" w:eastAsia="Times New Roman" w:hAnsi="Times New Roman"/>
          <w:sz w:val="11"/>
          <w:szCs w:val="11"/>
          <w:b w:val="1"/>
          <w:bCs w:val="1"/>
          <w:color w:val="auto"/>
        </w:rPr>
        <w:t>2022</w:t>
      </w:r>
      <w:r>
        <w:rPr>
          <w:sz w:val="20"/>
          <w:szCs w:val="20"/>
          <w:color w:val="auto"/>
        </w:rPr>
        <w:tab/>
      </w:r>
      <w:r>
        <w:rPr>
          <w:rFonts w:ascii="Times New Roman" w:cs="Times New Roman" w:eastAsia="Times New Roman" w:hAnsi="Times New Roman"/>
          <w:sz w:val="11"/>
          <w:szCs w:val="11"/>
          <w:b w:val="1"/>
          <w:bCs w:val="1"/>
          <w:color w:val="auto"/>
        </w:rPr>
        <w:t>2021</w:t>
      </w:r>
      <w:r>
        <w:rPr>
          <w:sz w:val="20"/>
          <w:szCs w:val="20"/>
          <w:color w:val="auto"/>
        </w:rPr>
        <w:tab/>
      </w:r>
      <w:r>
        <w:rPr>
          <w:rFonts w:ascii="Times New Roman" w:cs="Times New Roman" w:eastAsia="Times New Roman" w:hAnsi="Times New Roman"/>
          <w:sz w:val="11"/>
          <w:szCs w:val="11"/>
          <w:b w:val="1"/>
          <w:bCs w:val="1"/>
          <w:color w:val="auto"/>
        </w:rPr>
        <w:t>2020</w:t>
      </w:r>
    </w:p>
    <w:p>
      <w:pPr>
        <w:sectPr>
          <w:pgSz w:w="11900" w:h="16838" w:orient="portrait"/>
          <w:cols w:equalWidth="0" w:num="1">
            <w:col w:w="11280"/>
          </w:cols>
          <w:pgMar w:left="300" w:top="314" w:right="31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466590"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0">
                      <a:extLst>
                        <a:ext uri="{28A0092B-C50C-407E-A947-70E740481C1C}"/>
                      </a:extLst>
                    </a:blip>
                    <a:srcRect/>
                    <a:stretch>
                      <a:fillRect/>
                    </a:stretch>
                  </pic:blipFill>
                  <pic:spPr bwMode="auto">
                    <a:xfrm>
                      <a:off x="0" y="0"/>
                      <a:ext cx="4466590" cy="1212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term (in years)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466590" cy="1212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1">
                      <a:extLst>
                        <a:ext uri="{28A0092B-C50C-407E-A947-70E740481C1C}"/>
                      </a:extLst>
                    </a:blip>
                    <a:srcRect/>
                    <a:stretch>
                      <a:fillRect/>
                    </a:stretch>
                  </pic:blipFill>
                  <pic:spPr bwMode="auto">
                    <a:xfrm>
                      <a:off x="0" y="0"/>
                      <a:ext cx="4466590" cy="1212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dividend yield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for the twelve months ended December 31, 2022:</w:t>
      </w:r>
    </w:p>
    <w:p>
      <w:pPr>
        <w:spacing w:after="0" w:line="200" w:lineRule="exact"/>
        <w:rPr>
          <w:sz w:val="20"/>
          <w:szCs w:val="20"/>
          <w:color w:val="auto"/>
        </w:rPr>
      </w:pPr>
    </w:p>
    <w:p>
      <w:pPr>
        <w:spacing w:after="0" w:line="218"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1"/>
          <w:szCs w:val="11"/>
          <w:b w:val="1"/>
          <w:bCs w:val="1"/>
          <w:color w:val="auto"/>
        </w:rPr>
        <w:t>Number of</w:t>
      </w:r>
    </w:p>
    <w:p>
      <w:pPr>
        <w:spacing w:after="0" w:line="15"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1"/>
          <w:szCs w:val="11"/>
          <w:b w:val="1"/>
          <w:bCs w:val="1"/>
          <w:color w:val="auto"/>
        </w:rPr>
        <w:t>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94"/>
        </w:trPr>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3.4 %</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87"/>
        </w:trPr>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6.06</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91"/>
        </w:trPr>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5"/>
              </w:rPr>
              <w:t>96.0 %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97.3 %</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94.9 %</w:t>
            </w:r>
          </w:p>
        </w:tc>
      </w:tr>
      <w:tr>
        <w:trPr>
          <w:trHeight w:val="191"/>
        </w:trPr>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-241935</wp:posOffset>
            </wp:positionV>
            <wp:extent cx="2681605" cy="1212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2681605" cy="12128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-483870</wp:posOffset>
            </wp:positionV>
            <wp:extent cx="2681605" cy="1212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2681605" cy="12128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vMerge w:val="continue"/>
          </w:tcPr>
          <w:p>
            <w:pPr>
              <w:spacing w:after="0"/>
              <w:rPr>
                <w:sz w:val="9"/>
                <w:szCs w:val="9"/>
                <w:color w:val="auto"/>
              </w:rPr>
            </w:pPr>
          </w:p>
        </w:tc>
        <w:tc>
          <w:tcPr>
            <w:tcW w:w="1200" w:type="dxa"/>
            <w:vAlign w:val="bottom"/>
          </w:tcPr>
          <w:p>
            <w:pPr>
              <w:jc w:val="center"/>
              <w:ind w:left="26"/>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1"/>
                <w:szCs w:val="11"/>
                <w:b w:val="1"/>
                <w:bCs w:val="1"/>
                <w:color w:val="auto"/>
              </w:rPr>
              <w:t>Aggregate Intrinsic</w:t>
            </w:r>
          </w:p>
        </w:tc>
        <w:tc>
          <w:tcPr>
            <w:tcW w:w="0" w:type="dxa"/>
            <w:vAlign w:val="bottom"/>
          </w:tcPr>
          <w:p>
            <w:pPr>
              <w:spacing w:after="0"/>
              <w:rPr>
                <w:sz w:val="1"/>
                <w:szCs w:val="1"/>
                <w:color w:val="auto"/>
              </w:rPr>
            </w:pPr>
          </w:p>
        </w:tc>
      </w:tr>
      <w:tr>
        <w:trPr>
          <w:trHeight w:val="127"/>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2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49"/>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200" w:type="dxa"/>
            <w:vAlign w:val="bottom"/>
          </w:tcPr>
          <w:p>
            <w:pPr>
              <w:jc w:val="center"/>
              <w:ind w:left="26"/>
              <w:spacing w:after="0"/>
              <w:rPr>
                <w:sz w:val="20"/>
                <w:szCs w:val="20"/>
                <w:color w:val="auto"/>
              </w:rPr>
            </w:pPr>
            <w:r>
              <w:rPr>
                <w:rFonts w:ascii="Times New Roman" w:cs="Times New Roman" w:eastAsia="Times New Roman" w:hAnsi="Times New Roman"/>
                <w:sz w:val="8"/>
                <w:szCs w:val="8"/>
                <w:color w:val="auto"/>
                <w:w w:val="99"/>
              </w:rPr>
              <w:t>(in Years)</w:t>
            </w: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8"/>
                <w:szCs w:val="8"/>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20" w:space="720"/>
            <w:col w:w="3340"/>
          </w:cols>
          <w:pgMar w:left="300" w:top="314" w:right="31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1,916,051</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759,200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(653,771)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2,021,480</w:t>
            </w:r>
          </w:p>
        </w:tc>
        <w:tc>
          <w:tcPr>
            <w:tcW w:w="46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4"/>
                <w:szCs w:val="14"/>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1,114,604</w:t>
            </w:r>
          </w:p>
        </w:tc>
        <w:tc>
          <w:tcPr>
            <w:tcW w:w="46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December 31, 2022</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20" w:type="dxa"/>
            <w:vAlign w:val="bottom"/>
            <w:vMerge w:val="continue"/>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1,722,110</w:t>
            </w:r>
          </w:p>
        </w:tc>
        <w:tc>
          <w:tcPr>
            <w:tcW w:w="460" w:type="dxa"/>
            <w:vAlign w:val="bottom"/>
            <w:gridSpan w:val="2"/>
          </w:tcPr>
          <w:p>
            <w:pPr>
              <w:jc w:val="right"/>
              <w:ind w:right="2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2"/>
                <w:szCs w:val="12"/>
                <w:color w:val="auto"/>
              </w:rPr>
            </w:pPr>
          </w:p>
        </w:tc>
        <w:tc>
          <w:tcPr>
            <w:tcW w:w="540" w:type="dxa"/>
            <w:vAlign w:val="bottom"/>
          </w:tcPr>
          <w:p>
            <w:pPr>
              <w:jc w:val="right"/>
              <w:ind w:right="3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aggregate intrinsic value of options is calculated as the difference between the exercise price of the stock options and the fair value of the Company’s common stock to the extent the stock option had a lower exercise price. The aggregate intrinsic value of stock options exercised during the twelve months ended December 31, 2021 and 2020 was $13 thousand and $42 thousand, respectively. There were no stock options exercised for the twelve months ended December 31, 2022. The weighted average grant-date fair value per share of stock options granted during the years ended December 31, 2022, 2021 and 2020 was $1.38, $5.17, and $6.12,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r>
        <w:rPr>
          <w:rFonts w:ascii="Times New Roman" w:cs="Times New Roman" w:eastAsia="Times New Roman" w:hAnsi="Times New Roman"/>
          <w:sz w:val="14"/>
          <w:szCs w:val="14"/>
          <w:color w:val="auto"/>
        </w:rPr>
        <w:t>— During the twelve months ended December 31, 2022, the Company granted 1.8 million restricted stock units to employees at a weighted average grant date fair value of</w:t>
      </w:r>
    </w:p>
    <w:p>
      <w:pPr>
        <w:spacing w:after="0" w:line="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$2.09 per share. These restricted stock units are time-based and vest annually as the employee provides services to the Company. The Company recognizes stock-based compensation expense ratably, net of estimated forfeitures, over the estimated vesting period.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restricted stock activity for the twelve months ended December 31,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4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Number of Shares</w:t>
            </w:r>
          </w:p>
        </w:tc>
      </w:tr>
      <w:tr>
        <w:trPr>
          <w:trHeight w:val="17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925,101</w:t>
            </w:r>
          </w:p>
        </w:tc>
      </w:tr>
      <w:tr>
        <w:trPr>
          <w:trHeight w:val="180"/>
        </w:trPr>
        <w:tc>
          <w:tcPr>
            <w:tcW w:w="9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1,814,425</w:t>
            </w:r>
          </w:p>
        </w:tc>
      </w:tr>
      <w:tr>
        <w:trPr>
          <w:trHeight w:val="180"/>
        </w:trPr>
        <w:tc>
          <w:tcPr>
            <w:tcW w:w="9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(384,814)</w:t>
            </w:r>
          </w:p>
        </w:tc>
      </w:tr>
      <w:tr>
        <w:trPr>
          <w:trHeight w:val="180"/>
        </w:trPr>
        <w:tc>
          <w:tcPr>
            <w:tcW w:w="9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(674,149)</w:t>
            </w:r>
          </w:p>
        </w:tc>
      </w:tr>
      <w:tr>
        <w:trPr>
          <w:trHeight w:val="196"/>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1,680,563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Stock-Based Compensation— </w:t>
      </w:r>
      <w:r>
        <w:rPr>
          <w:rFonts w:ascii="Times New Roman" w:cs="Times New Roman" w:eastAsia="Times New Roman" w:hAnsi="Times New Roman"/>
          <w:sz w:val="14"/>
          <w:szCs w:val="14"/>
          <w:color w:val="auto"/>
        </w:rPr>
        <w:t>As of December 31, 2022, total unrecognized compensation expense related to unvested stock options and restricted stock units was $4.4 million, which is expected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 recognized over a weighted average period of 1.5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type w:val="continuous"/>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was classified in the consolidated statements of operations as follows:</w:t>
      </w:r>
    </w:p>
    <w:p>
      <w:pPr>
        <w:spacing w:after="0" w:line="30"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1"/>
          <w:szCs w:val="11"/>
          <w:b w:val="1"/>
          <w:bCs w:val="1"/>
          <w:color w:val="auto"/>
        </w:rPr>
        <w:t>Year Ended</w:t>
      </w:r>
    </w:p>
    <w:p>
      <w:pPr>
        <w:jc w:val="center"/>
        <w:ind w:left="548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17145</wp:posOffset>
            </wp:positionV>
            <wp:extent cx="345630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3456305"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16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191"/>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3,112</w:t>
            </w:r>
          </w:p>
        </w:tc>
      </w:tr>
      <w:tr>
        <w:trPr>
          <w:trHeight w:val="196"/>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116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Appreciation Rights— </w:t>
      </w:r>
      <w:r>
        <w:rPr>
          <w:rFonts w:ascii="Times New Roman" w:cs="Times New Roman" w:eastAsia="Times New Roman" w:hAnsi="Times New Roman"/>
          <w:sz w:val="14"/>
          <w:szCs w:val="14"/>
          <w:color w:val="auto"/>
        </w:rPr>
        <w:t>On November 7, 2022 (the “Grant Date”), the compensation committee of the Board of Directors approved special retention and recognition grants of stock appreciation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rights pursuant to the 2017 Plan to the Company’s President and Chief Executive Officer, the Company’s Chief Financial Officer and Treasurer, and certain other executive officers of the Company. The SARs have a measurement price per SAR equal to $1.80, the closing price per share of the Company’s common stock on the Grant Date, and each grant of SARs will have a maximum term of ten years from the Grant Date. Unless otherwise determined by the Board of Directors, the SARs will be settled in cash upon exercise. The settlement value will be based on the difference between the closing price of the Company’s common stock on the date of settlement less $1.80 multiplied by the number of SARs exercised. The SARs will vest and become exercisable in equal annual installments on the first, second, and third anniversaries of the Grant Date, subject to the recipient remaining an employee of the Company through and including each applicable vesting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calculation of the fair value of the outstanding SARs includes the closing price of the Company’s common stock of $0.99 and the following assumptions on a weighted average basis: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0" w:type="dxa"/>
            <w:vAlign w:val="bottom"/>
          </w:tcPr>
          <w:p>
            <w:pPr>
              <w:spacing w:after="0"/>
              <w:rPr>
                <w:sz w:val="10"/>
                <w:szCs w:val="10"/>
                <w:color w:val="auto"/>
              </w:rPr>
            </w:pPr>
          </w:p>
        </w:tc>
        <w:tc>
          <w:tcPr>
            <w:tcW w:w="2360" w:type="dxa"/>
            <w:vAlign w:val="bottom"/>
            <w:tcBorders>
              <w:top w:val="single" w:sz="8" w:color="auto"/>
            </w:tcBorders>
          </w:tcPr>
          <w:p>
            <w:pPr>
              <w:jc w:val="right"/>
              <w:ind w:right="793"/>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8600" w:type="dxa"/>
            <w:vAlign w:val="bottom"/>
            <w:tcBorders>
              <w:bottom w:val="single" w:sz="8" w:color="CFF0FC"/>
            </w:tcBorders>
          </w:tcPr>
          <w:p>
            <w:pPr>
              <w:spacing w:after="0"/>
              <w:rPr>
                <w:sz w:val="13"/>
                <w:szCs w:val="13"/>
                <w:color w:val="auto"/>
              </w:rPr>
            </w:pPr>
          </w:p>
        </w:tc>
        <w:tc>
          <w:tcPr>
            <w:tcW w:w="236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r>
        <w:trPr>
          <w:trHeight w:val="18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180"/>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96.96 %</w:t>
            </w:r>
          </w:p>
        </w:tc>
      </w:tr>
      <w:tr>
        <w:trPr>
          <w:trHeight w:val="180"/>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Forfeiture Rate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bl>
    <w:p>
      <w:pPr>
        <w:spacing w:after="0" w:line="3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SARs are accounted for as liability awards as settlement will be in the form of cash unless the Board of Directors authorizes settlement in shares of the Company’s common stock and such shares are available to be issued from the 2017 Plan. The Company currently intends to settle the SARs in cash if and when exercised. Compensation expense is recorded based the fair value of the SARs, as determined using the Black-Scholes option valuation model, using an accelerated attribution method as the SARs vest. The Company remeasures the fair value of the outstanding SARs each period until settlement and adjusts life-to-date compensation expense to the period end SARs fair value. For the year ended December 31, 2022, the Company recognized $373 thousand of compensation expense related to the SARs.</w:t>
      </w: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INCOME TAXES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During the years ended December 31, 2022, 2021, and 2020, the Company recorded no income tax benefits for the net operating losses incurred and research and development credits generated due to the uncertainty of realizing a benefit from those items. Additionally during the years ended December 31, 2022, 2021 and 2020, the Company recorded immaterial a tax provisions related to its Austrian subsidiary. Also during the year ended December 31, 2020, the Company recorded a U.S. tax provision related to local withholdings associated with a milestone payment received from a customer in a foreign jurisdiction.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before the provision for income taxes for the years ended December 31, 2022, 2021 and 2020 consisted of the following:</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52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20" w:type="dxa"/>
            <w:vAlign w:val="bottom"/>
            <w:tcBorders>
              <w:bottom w:val="single" w:sz="8" w:color="auto"/>
            </w:tcBorders>
          </w:tcPr>
          <w:p>
            <w:pPr>
              <w:spacing w:after="0"/>
              <w:rPr>
                <w:sz w:val="13"/>
                <w:szCs w:val="13"/>
                <w:color w:val="auto"/>
              </w:rPr>
            </w:pPr>
          </w:p>
        </w:tc>
      </w:tr>
      <w:tr>
        <w:trPr>
          <w:trHeight w:val="149"/>
        </w:trPr>
        <w:tc>
          <w:tcPr>
            <w:tcW w:w="5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500" w:type="dxa"/>
            <w:vAlign w:val="bottom"/>
          </w:tcPr>
          <w:p>
            <w:pPr>
              <w:jc w:val="right"/>
              <w:ind w:right="10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20" w:type="dxa"/>
            <w:vAlign w:val="bottom"/>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(94,742)</w:t>
            </w: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(89,865)</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(62,539)</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(Austria)</w:t>
            </w: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(93,839)</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(88,679)</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(61,983)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7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 reconciliation of the U.S. federal statutory income tax rate to the Company's effective income tax rate is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720" w:type="dxa"/>
            <w:vAlign w:val="bottom"/>
            <w:gridSpan w:val="5"/>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2021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income tax rate</w:t>
            </w: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deferred tax asset valuation allowance</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23.2</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27.2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0.2 %</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deferred tax assets as of December 31, 2022 and 2021 consisted of the following:</w:t>
            </w: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55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107,296</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101,863</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 carryforwards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research and development expenses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16,004</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0" w:type="dxa"/>
            <w:vAlign w:val="bottom"/>
          </w:tcPr>
          <w:p>
            <w:pPr>
              <w:spacing w:after="0"/>
              <w:rPr>
                <w:sz w:val="1"/>
                <w:szCs w:val="1"/>
                <w:color w:val="auto"/>
              </w:rPr>
            </w:pPr>
          </w:p>
        </w:tc>
      </w:tr>
      <w:tr>
        <w:trPr>
          <w:trHeight w:val="171"/>
        </w:trPr>
        <w:tc>
          <w:tcPr>
            <w:tcW w:w="5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134,614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113,682</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(133,112)</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w w:val="98"/>
              </w:rPr>
              <w:t>(111,835)</w:t>
            </w:r>
          </w:p>
        </w:tc>
        <w:tc>
          <w:tcPr>
            <w:tcW w:w="0" w:type="dxa"/>
            <w:vAlign w:val="bottom"/>
          </w:tcPr>
          <w:p>
            <w:pPr>
              <w:spacing w:after="0"/>
              <w:rPr>
                <w:sz w:val="1"/>
                <w:szCs w:val="1"/>
                <w:color w:val="auto"/>
              </w:rPr>
            </w:pPr>
          </w:p>
        </w:tc>
      </w:tr>
      <w:tr>
        <w:trPr>
          <w:trHeight w:val="171"/>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2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171"/>
        </w:trPr>
        <w:tc>
          <w:tcPr>
            <w:tcW w:w="5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net</w:t>
            </w: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of December 31, 2022, the Company had U.S. federal and state net operating loss carryforwards of $342.9 million and $336.5 million, respectively, which may be available to offset future taxable income and begin to expire in 2031 and 2035, respectively. The Company has federal net operating losses $288.8 million, which do not expire, and $54.1 million of federal net operating losses generated prior to 2018 that will expire at various dates through 2037. In addition, as of December 31, 2022, the Company had foreign net operating loss carryforward of $61.2 million, which do not expire but are generally limited in their usage to an annual deduction equal to 75% of taxable income. As of December 31, 2022, the Company also had U.S. federal and state research and development tax credit carryforwards of $5.2 million and $1.9 million, respectively, which may be available to offset future tax liabilities and each begin to expire in 2032 and 2030, respectively.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Cuts and Jobs Act (the “Act”) was enacted on December 22, 2017. Under the Act, research and experimental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expenditures incurred for tax years beginning after December 31, 2021 must be capitalized and amortized ratably over five or fifteen years for tax purposes, depending on where the research activities are conducted, in accordance with Section 174 of the Internal Review Code (“Section 174 Expenditures”). For the year ended December 31, 2022, the Company capitalized $59.0 million and received $5.3 million of amortization deductions related to such Section 174 Expenditures, which on a tax-effected basis represent $14.7 million of the deferred tax assets shown in “Capitalized research and development costs” in the table above. The Company has elected to treat global intangible low-taxed income (“GILTI”) as a period cost, so the capitalization of research and experimental costs in GILTI increases the Company’s provision for income taxes. If the requirement to capitalize Section 174 expenditures is not modified, it may also impact our effective tax rate and our cash tax liability in future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uncertain tax position reserves recorded were $0.2 million for U.S. federal and state research and development tax credits.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reserve for uncertain tax positions for the three years ended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68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6"/>
              </w:rPr>
              <w:t>Reserve for Uncertain Tax</w:t>
            </w:r>
          </w:p>
        </w:tc>
        <w:tc>
          <w:tcPr>
            <w:tcW w:w="0" w:type="dxa"/>
            <w:vAlign w:val="bottom"/>
          </w:tcPr>
          <w:p>
            <w:pPr>
              <w:spacing w:after="0"/>
              <w:rPr>
                <w:sz w:val="1"/>
                <w:szCs w:val="1"/>
                <w:color w:val="auto"/>
              </w:rPr>
            </w:pPr>
          </w:p>
        </w:tc>
      </w:tr>
      <w:tr>
        <w:trPr>
          <w:trHeight w:val="170"/>
        </w:trPr>
        <w:tc>
          <w:tcPr>
            <w:tcW w:w="92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0" w:type="dxa"/>
            <w:vAlign w:val="bottom"/>
          </w:tcPr>
          <w:p>
            <w:pPr>
              <w:spacing w:after="0"/>
              <w:rPr>
                <w:sz w:val="1"/>
                <w:szCs w:val="1"/>
                <w:color w:val="auto"/>
              </w:rPr>
            </w:pPr>
          </w:p>
        </w:tc>
      </w:tr>
      <w:tr>
        <w:trPr>
          <w:trHeight w:val="171"/>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center"/>
              <w:ind w:left="1312"/>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9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Settlement of unrecognized tax benefit</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14"/>
                <w:szCs w:val="14"/>
                <w:color w:val="auto"/>
                <w:w w:val="96"/>
              </w:rPr>
              <w:t>(0.1)</w:t>
            </w:r>
          </w:p>
        </w:tc>
        <w:tc>
          <w:tcPr>
            <w:tcW w:w="0" w:type="dxa"/>
            <w:vAlign w:val="bottom"/>
          </w:tcPr>
          <w:p>
            <w:pPr>
              <w:spacing w:after="0"/>
              <w:rPr>
                <w:sz w:val="1"/>
                <w:szCs w:val="1"/>
                <w:color w:val="auto"/>
              </w:rPr>
            </w:pPr>
          </w:p>
        </w:tc>
      </w:tr>
      <w:tr>
        <w:trPr>
          <w:trHeight w:val="175"/>
        </w:trPr>
        <w:tc>
          <w:tcPr>
            <w:tcW w:w="926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Balance as of December 31, 2021</w:t>
            </w:r>
          </w:p>
        </w:tc>
        <w:tc>
          <w:tcPr>
            <w:tcW w:w="1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center"/>
              <w:ind w:left="1312"/>
              <w:spacing w:after="0" w:line="150"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Balance as of December 31, 2022</w:t>
            </w:r>
          </w:p>
        </w:tc>
        <w:tc>
          <w:tcPr>
            <w:tcW w:w="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center"/>
              <w:ind w:left="1312"/>
              <w:spacing w:after="0" w:line="143"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Utilization of the U.S.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U.S.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Each period, the Company evaluates the positive and negative evidence bearing upon its ability to realize its federal, state and foreign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its deferred tax assets. Accordingly, a full valuation allowance has been established against the deferred tax assets as of December 31, 2022, 2021 and 2020.</w:t>
      </w:r>
    </w:p>
    <w:p>
      <w:pPr>
        <w:spacing w:after="0" w:line="162"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4"/>
          <w:szCs w:val="14"/>
          <w:color w:val="auto"/>
        </w:rPr>
        <w:t>Changes in the valuation allowance for deferred tax assets during the years ended December 31, 2022, 2021 and 2020 related primarily to the increases in net operating loss carryforwards and research and development tax credit carryforwards and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54"/>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40" w:type="dxa"/>
            <w:vAlign w:val="bottom"/>
          </w:tcPr>
          <w:p>
            <w:pPr>
              <w:spacing w:after="0"/>
              <w:rPr>
                <w:sz w:val="13"/>
                <w:szCs w:val="13"/>
                <w:color w:val="auto"/>
              </w:rPr>
            </w:pPr>
          </w:p>
        </w:tc>
      </w:tr>
      <w:tr>
        <w:trPr>
          <w:trHeight w:val="17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beginning of year</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(92,197)</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(73,410)</w:t>
            </w:r>
          </w:p>
        </w:tc>
        <w:tc>
          <w:tcPr>
            <w:tcW w:w="240" w:type="dxa"/>
            <w:vAlign w:val="bottom"/>
          </w:tcPr>
          <w:p>
            <w:pPr>
              <w:spacing w:after="0"/>
              <w:rPr>
                <w:sz w:val="15"/>
                <w:szCs w:val="15"/>
                <w:color w:val="auto"/>
              </w:rPr>
            </w:pP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Increases recorded to income tax provision</w:t>
            </w: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(21,277)</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(19,638)</w:t>
            </w: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(18,787)</w:t>
            </w:r>
          </w:p>
        </w:tc>
        <w:tc>
          <w:tcPr>
            <w:tcW w:w="240" w:type="dxa"/>
            <w:vAlign w:val="bottom"/>
          </w:tcPr>
          <w:p>
            <w:pPr>
              <w:spacing w:after="0"/>
              <w:rPr>
                <w:sz w:val="15"/>
                <w:szCs w:val="15"/>
                <w:color w:val="auto"/>
              </w:rPr>
            </w:pPr>
          </w:p>
        </w:tc>
      </w:tr>
      <w:tr>
        <w:trPr>
          <w:trHeight w:val="19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end of year</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(133,112)</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(111,835)</w:t>
            </w: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(92,197)</w:t>
            </w:r>
          </w:p>
        </w:tc>
        <w:tc>
          <w:tcPr>
            <w:tcW w:w="240" w:type="dxa"/>
            <w:vAlign w:val="bottom"/>
          </w:tcPr>
          <w:p>
            <w:pPr>
              <w:spacing w:after="0"/>
              <w:rPr>
                <w:sz w:val="16"/>
                <w:szCs w:val="16"/>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64"/>
        </w:trPr>
        <w:tc>
          <w:tcPr>
            <w:tcW w:w="4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F-33</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87"/>
        </w:trPr>
        <w:tc>
          <w:tcPr>
            <w:tcW w:w="46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are generally subject to tax examinations for the tax years ended December 31, 2019 through December 31, 2021.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 The Company’s policy is to record interest and penalties related to income taxes as part of its income tax provision.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NET LOSS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net loss per share attributable to common stockholders was calculated as follow: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(88,696)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(62,131)</w:t>
            </w:r>
          </w:p>
        </w:tc>
        <w:tc>
          <w:tcPr>
            <w:tcW w:w="0" w:type="dxa"/>
            <w:vAlign w:val="bottom"/>
          </w:tcPr>
          <w:p>
            <w:pPr>
              <w:spacing w:after="0"/>
              <w:rPr>
                <w:sz w:val="1"/>
                <w:szCs w:val="1"/>
                <w:color w:val="auto"/>
              </w:rPr>
            </w:pPr>
          </w:p>
        </w:tc>
      </w:tr>
      <w:tr>
        <w:trPr>
          <w:trHeight w:val="191"/>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Deemed dividend as a result of Class B Warrant price reset</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(13,943)</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(96,413)</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(102,639)</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stock—basic and diluted</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63,526</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25,749</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20,077</w:t>
            </w:r>
          </w:p>
        </w:tc>
        <w:tc>
          <w:tcPr>
            <w:tcW w:w="0" w:type="dxa"/>
            <w:vAlign w:val="bottom"/>
          </w:tcPr>
          <w:p>
            <w:pPr>
              <w:spacing w:after="0"/>
              <w:rPr>
                <w:sz w:val="1"/>
                <w:szCs w:val="1"/>
                <w:color w:val="auto"/>
              </w:rPr>
            </w:pP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Basic and diluted weighted average shares of common stock outstanding for the three years ended December 31, 2022 includes the weighted average effect of 24,150,977 pre-funded warrants, for the purchase of shares of common stock, for which the remaining unfunded exercise price is less than or equal to $0.01 per share. During the years ended December 31, 2022 and 2021, in accordance with the Class B Warrant agreement, the exercise price of each outstanding Class B Warrant was adjusted to the price of subsequent sales of common stock. Such adjustments are accounted for as a deemed dividend that adjusts net loss available to common shareholders for purposes of basic earnings per share. The deemed dividend is calculated using the Black-Scholes pricing model, taking into account historical volatility of the Company’s common stock and the estimated remaining life of the outstanding Class B Warrants.</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Company’s potentially dilutive securities included outstanding stock options, unvested restricted stock units and warrants to purchase shares of common stock for the three years ended December 31, 2022. These potentially dilutive securities have been excluded from the computation of diluted net loss per share as the effect would be to reduce the net loss per share, and thus they are considered “anti-dilutive.” Therefore, the weighted average number of common shares outstanding used to calculate both basic and diluted net loss per share attributable to common stockholders is the same. The Company excluded the following potential shares of common stock from the computation of diluted net loss per share attributable to common stockholders for the periods indicated because including them would have had an anti-dilutive effect:</w:t>
      </w:r>
    </w:p>
    <w:p>
      <w:pPr>
        <w:jc w:val="center"/>
        <w:ind w:left="6460"/>
        <w:spacing w:after="0" w:line="229" w:lineRule="auto"/>
        <w:rPr>
          <w:sz w:val="20"/>
          <w:szCs w:val="20"/>
          <w:color w:val="auto"/>
        </w:rPr>
      </w:pPr>
      <w:r>
        <w:rPr>
          <w:rFonts w:ascii="Times New Roman" w:cs="Times New Roman" w:eastAsia="Times New Roman" w:hAnsi="Times New Roman"/>
          <w:sz w:val="11"/>
          <w:szCs w:val="11"/>
          <w:b w:val="1"/>
          <w:bCs w:val="1"/>
          <w:color w:val="auto"/>
        </w:rPr>
        <w:t>Year Ended</w:t>
      </w:r>
    </w:p>
    <w:p>
      <w:pPr>
        <w:jc w:val="center"/>
        <w:ind w:left="646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17145</wp:posOffset>
            </wp:positionV>
            <wp:extent cx="279590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2,021,480</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1,916,051</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1,874,514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1,680,563</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925,101</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572,460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 (excluding prefunded warrants, which are included in basic shares outstanding)</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87,720,773</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9,449,128</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9,474,403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91,422,816</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12,290,280</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11,921,377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color w:val="auto"/>
              </w:rPr>
              <w:t>F-34</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66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6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GAIN ON SALE OF NONFINANCIAL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2022, a third party, who had previously acquired rights to certain intellectual</w:t>
      </w:r>
    </w:p>
    <w:p>
      <w:pPr>
        <w:spacing w:after="0" w:line="2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4"/>
          <w:szCs w:val="14"/>
          <w:color w:val="auto"/>
        </w:rPr>
        <w:t>property from the Company, terminated the arrangement and transferred these rights back to the Company. Also during the year ended December 31, 2022, the Company transferred these rights to another third party in return for $0.5 million. The</w:t>
      </w:r>
    </w:p>
    <w:p>
      <w:pPr>
        <w:ind w:right="4160"/>
        <w:spacing w:after="0" w:line="253" w:lineRule="auto"/>
        <w:rPr>
          <w:sz w:val="20"/>
          <w:szCs w:val="20"/>
          <w:color w:val="auto"/>
        </w:rPr>
      </w:pPr>
      <w:r>
        <w:rPr>
          <w:rFonts w:ascii="Times New Roman" w:cs="Times New Roman" w:eastAsia="Times New Roman" w:hAnsi="Times New Roman"/>
          <w:sz w:val="14"/>
          <w:szCs w:val="14"/>
          <w:color w:val="auto"/>
        </w:rPr>
        <w:t xml:space="preserve">Company has no continuing involvement in any ongoing research and development activities associated with the intellectual property. The Company concluded that these third parties are "non-customers" as the underlying intellectual property transferred to and from these third parties supports potential drug candidates that are not aligned with the Company's strategic focus and, therefore, are not an output of the Company's ordinary activities. Accordingly, the Company accounted for the sale of the intellectual property as the sale of a non-financial asset under ASC Topic 610-20, </w:t>
      </w:r>
      <w:r>
        <w:rPr>
          <w:rFonts w:ascii="Times New Roman" w:cs="Times New Roman" w:eastAsia="Times New Roman" w:hAnsi="Times New Roman"/>
          <w:sz w:val="14"/>
          <w:szCs w:val="14"/>
          <w:i w:val="1"/>
          <w:iCs w:val="1"/>
          <w:color w:val="auto"/>
        </w:rPr>
        <w:t>Gains and Losses from the</w:t>
      </w:r>
    </w:p>
    <w:p>
      <w:pPr>
        <w:spacing w:after="0"/>
        <w:rPr>
          <w:sz w:val="20"/>
          <w:szCs w:val="20"/>
          <w:color w:val="auto"/>
        </w:rPr>
      </w:pPr>
      <w:r>
        <w:rPr>
          <w:rFonts w:ascii="Times New Roman" w:cs="Times New Roman" w:eastAsia="Times New Roman" w:hAnsi="Times New Roman"/>
          <w:sz w:val="14"/>
          <w:szCs w:val="14"/>
          <w:i w:val="1"/>
          <w:iCs w:val="1"/>
          <w:color w:val="auto"/>
        </w:rPr>
        <w:t xml:space="preserve">Derecognition of Nonfinancial Assets </w:t>
      </w:r>
      <w:r>
        <w:rPr>
          <w:rFonts w:ascii="Times New Roman" w:cs="Times New Roman" w:eastAsia="Times New Roman" w:hAnsi="Times New Roman"/>
          <w:sz w:val="14"/>
          <w:szCs w:val="14"/>
          <w:color w:val="auto"/>
        </w:rPr>
        <w:t>("ASC 610-20"), and included the gain in gain on sale of non-financial asset for the year ended December 31, 2022.</w:t>
      </w:r>
    </w:p>
    <w:p>
      <w:pPr>
        <w:spacing w:after="0" w:line="268" w:lineRule="exact"/>
        <w:rPr>
          <w:sz w:val="20"/>
          <w:szCs w:val="20"/>
          <w:color w:val="auto"/>
        </w:rPr>
      </w:pPr>
    </w:p>
    <w:p>
      <w:pPr>
        <w:ind w:left="360" w:hanging="355"/>
        <w:spacing w:after="0"/>
        <w:tabs>
          <w:tab w:leader="none" w:pos="36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 Amendment and Restatement of Hercules Loan Agreement</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 xml:space="preserve">As further disclosed in Note 7, on January 6, 2023, the Company entered the Second A&amp;R Loan Agreement with Hercules, which provides for a term loan of $32.5 million. The Second A&amp;R Loan Agreement amended and restated the previous loan and security agreement, as amended. The Second A&amp;R Loan Agreement does not require any scheduled amortization payments prior to October 1, 2024; provided however, if certain conditions are met, then amortization payments will not be required until January 1, 2026. The entire principal balance and all accrued but unpaid interest shall be due on the maturity date, which is April 1, 2026; provided however, if certain conditions are met, the maturity date will be extended to July 1, 2027. Borrowings bear interest at a per annum rate equal to the greater of (i) 3.15% plus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prime rate or (ii) 10.15%. Interest payments are due on a monthly basis. In an event of default and until such event is no longer continuing, the interest rate applicable to borrowings under the Second A&amp;R Loan Agreement would be increased by 4.00%. Please see Note 7 for further disclosures related to the Second A&amp;R Loan Agreement with Hercules.</w:t>
      </w:r>
    </w:p>
    <w:p>
      <w:pPr>
        <w:spacing w:after="0" w:line="16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Borrowings under the Second A&amp;R Loan Agreement are collateralized by substantially all of the Company’s personal property and other assets except for their intellectual property (but including rights to payment and proceeds from the sale, licensing or disposition of the intellectual property). Under the Second A&amp;R Loan Agreement, the Borrowers have agreed to affirmative and negative covenants to which the Company will remain subject until maturity or repayment in full. Such covenants include maintaining a minimum liquidity amount of cash and cash equivalents in an aggregate amount greater than or equal to $20.0 million or, on and after certain conditions have been met, cash and cash equivalents in an aggregate amount greater than or equal to $10.0 million. The Company’s obligations under the Second A&amp;R Loan Agreement are subject to acceleration upon occurrence of specified events of default, including payment default, insolvency and a material adverse change in the Company’s business, operations or financial or other condition. In addition, under the Second A&amp;R Loan Agreement, Hercules has the right to participate, in a cumulative amount of up to $1.0 million in the aggregate, and subject to exceptions as provided in the Second A&amp;R Loan Agreement, in any future offering of the Company’s equity securities for cash that is solely for financing purposes and is broadly marketed to multiple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1280"/>
          </w:cols>
          <w:pgMar w:left="300" w:top="314"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6"/>
          <w:szCs w:val="16"/>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 REGISTERED UNDER SECTION 12 OF THE SECURITIES EXCHANGE ACT OF 1934</w:t>
      </w:r>
    </w:p>
    <w:p>
      <w:pPr>
        <w:spacing w:after="0" w:line="16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description of our common stock and provisions of our restated certificate of incorporation, as amended (“restated certificate”), and amended and restated by-laws (“by-laws”) are summaries, and does not purport to be complete and is subject to, and is qualified in its entirety by reference to, the applicable provisions of the restated certificate,</w:t>
      </w:r>
    </w:p>
    <w:p>
      <w:pPr>
        <w:ind w:right="120"/>
        <w:spacing w:after="0" w:line="224" w:lineRule="auto"/>
        <w:rPr>
          <w:sz w:val="20"/>
          <w:szCs w:val="20"/>
          <w:color w:val="auto"/>
        </w:rPr>
      </w:pPr>
      <w:r>
        <w:rPr>
          <w:rFonts w:ascii="Times New Roman" w:cs="Times New Roman" w:eastAsia="Times New Roman" w:hAnsi="Times New Roman"/>
          <w:sz w:val="16"/>
          <w:szCs w:val="16"/>
          <w:i w:val="1"/>
          <w:iCs w:val="1"/>
          <w:color w:val="auto"/>
        </w:rPr>
        <w:t>by-laws and forms of warrants, each of which is filed as an exhibit to the Company’s Annual Report on Form 10-K of which this Exhibit 4.17 is a part. We encourage you to review the terms and provisions set forth therein for additional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ind w:right="80"/>
        <w:spacing w:after="0" w:line="224" w:lineRule="auto"/>
        <w:rPr>
          <w:sz w:val="20"/>
          <w:szCs w:val="20"/>
          <w:color w:val="auto"/>
        </w:rPr>
      </w:pPr>
      <w:r>
        <w:rPr>
          <w:rFonts w:ascii="Times New Roman" w:cs="Times New Roman" w:eastAsia="Times New Roman" w:hAnsi="Times New Roman"/>
          <w:sz w:val="16"/>
          <w:szCs w:val="16"/>
          <w:color w:val="auto"/>
        </w:rPr>
        <w:t>Our restated certificate authorizes us to issue up to 500,000,000 shares of common stock, $0.001 par value per share, and 10,000,000 shares of preferred stock, $0.001 par value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37"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on all matters submitted to a vote of stockholders and do not have cumulative voting rights. An election of</w:t>
      </w:r>
    </w:p>
    <w:p>
      <w:pPr>
        <w:ind w:right="60"/>
        <w:spacing w:after="0" w:line="229" w:lineRule="auto"/>
        <w:rPr>
          <w:sz w:val="20"/>
          <w:szCs w:val="20"/>
          <w:color w:val="auto"/>
        </w:rPr>
      </w:pPr>
      <w:r>
        <w:rPr>
          <w:rFonts w:ascii="Times New Roman" w:cs="Times New Roman" w:eastAsia="Times New Roman" w:hAnsi="Times New Roman"/>
          <w:sz w:val="14"/>
          <w:szCs w:val="14"/>
          <w:color w:val="auto"/>
        </w:rPr>
        <w:t>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w:t>
      </w:r>
    </w:p>
    <w:p>
      <w:pPr>
        <w:spacing w:after="0"/>
        <w:rPr>
          <w:sz w:val="20"/>
          <w:szCs w:val="20"/>
          <w:color w:val="auto"/>
        </w:rPr>
      </w:pPr>
      <w:r>
        <w:rPr>
          <w:rFonts w:ascii="Times New Roman" w:cs="Times New Roman" w:eastAsia="Times New Roman" w:hAnsi="Times New Roman"/>
          <w:sz w:val="16"/>
          <w:szCs w:val="16"/>
          <w:color w:val="auto"/>
        </w:rPr>
        <w:t>issue in the future.</w:t>
      </w:r>
    </w:p>
    <w:p>
      <w:pPr>
        <w:spacing w:after="0" w:line="148"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4"/>
          <w:szCs w:val="14"/>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w:t>
      </w:r>
    </w:p>
    <w:p>
      <w:pPr>
        <w:spacing w:after="0" w:line="1" w:lineRule="exact"/>
        <w:rPr>
          <w:sz w:val="20"/>
          <w:szCs w:val="20"/>
          <w:color w:val="auto"/>
        </w:rPr>
      </w:pPr>
    </w:p>
    <w:p>
      <w:pPr>
        <w:ind w:right="300"/>
        <w:spacing w:after="0" w:line="224" w:lineRule="auto"/>
        <w:rPr>
          <w:sz w:val="20"/>
          <w:szCs w:val="20"/>
          <w:color w:val="auto"/>
        </w:rPr>
      </w:pPr>
      <w:r>
        <w:rPr>
          <w:rFonts w:ascii="Times New Roman" w:cs="Times New Roman" w:eastAsia="Times New Roman" w:hAnsi="Times New Roman"/>
          <w:sz w:val="16"/>
          <w:szCs w:val="16"/>
          <w:color w:val="auto"/>
        </w:rPr>
        <w:t>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p>
      <w:pPr>
        <w:spacing w:after="0" w:line="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6"/>
          <w:szCs w:val="16"/>
          <w:color w:val="auto"/>
        </w:rPr>
        <w:t>In March 2019, Arsanis, Inc. completed a business combination with X4 Therapeutics, Inc., formerly X4 Pharmaceuticals, Inc. (“Legacy X4”) and changed its name to X4 Pharmaceuticals, Inc. In connection with such business combination, certain then-outstanding warrants issued by Legacy X4 to purchase preferred stock of Legacy X4 were exchanged for warrants to purchase common stock of X4 Pharmaceuticals, Inc., formerly Arsanis, Inc. (the “Legacy Warrants”). We also authorized and issued a warrant to Hercules Capital Inc. (the “Hercules Warrant”), Class A warrants (the “Class A Warrants”), Class B warrants (which expired on December 29, 2022), Class C warrants (the “Class C Warrants”), pre-funded warrants (the “Pre-Funded Warrants”) and certain warrants in a private placement (the “Private Placement Warrants”).</w:t>
      </w:r>
    </w:p>
    <w:p>
      <w:pPr>
        <w:spacing w:after="0" w:line="14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4"/>
          <w:szCs w:val="14"/>
          <w:color w:val="auto"/>
        </w:rPr>
        <w:t>The number of shares of common stock to be received upon the exercise of such warrants may be adjusted from time to time upon the occurrence of certain events, including, but not limited to, stock dividends, stock splits, reorganizations or similar events affecting our common stock and the exercise price. Further, the exercise price and number of shares of</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4"/>
          <w:szCs w:val="14"/>
          <w:color w:val="auto"/>
        </w:rPr>
        <w:t>common stock to be received upon the exercise of the warrants are subject to appropriate adjustment in the event our company consummates certain change in control or capital reorganization transactions as set forth in such warrants. Subject to applicable laws, each warrant may be transferred at the option of the holder upon surrender of such warrant to us</w:t>
      </w:r>
    </w:p>
    <w:p>
      <w:pPr>
        <w:spacing w:after="0"/>
        <w:rPr>
          <w:sz w:val="20"/>
          <w:szCs w:val="20"/>
          <w:color w:val="auto"/>
        </w:rPr>
      </w:pPr>
      <w:r>
        <w:rPr>
          <w:rFonts w:ascii="Times New Roman" w:cs="Times New Roman" w:eastAsia="Times New Roman" w:hAnsi="Times New Roman"/>
          <w:sz w:val="16"/>
          <w:szCs w:val="16"/>
          <w:color w:val="auto"/>
        </w:rPr>
        <w:t>together with the appropriate instruments of transfer.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Legacy Warrants</w:t>
      </w:r>
    </w:p>
    <w:p>
      <w:pPr>
        <w:ind w:right="100"/>
        <w:spacing w:after="0" w:line="232" w:lineRule="auto"/>
        <w:rPr>
          <w:sz w:val="20"/>
          <w:szCs w:val="20"/>
          <w:color w:val="auto"/>
        </w:rPr>
      </w:pPr>
      <w:r>
        <w:rPr>
          <w:rFonts w:ascii="Times New Roman" w:cs="Times New Roman" w:eastAsia="Times New Roman" w:hAnsi="Times New Roman"/>
          <w:sz w:val="16"/>
          <w:szCs w:val="16"/>
          <w:color w:val="auto"/>
        </w:rPr>
        <w:t>As of December 31, 2022, there were 161,307 Legacy Warrants outstanding at an exercise price of $19.78 per share. Each Legacy Warrant entitle the holder to purchase one share of our common stock and is subject to adjustment as discussed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Legacy Warrants will expire on:</w:t>
      </w:r>
    </w:p>
    <w:p>
      <w:pPr>
        <w:sectPr>
          <w:pgSz w:w="11900" w:h="16838" w:orient="portrait"/>
          <w:cols w:equalWidth="0" w:num="1">
            <w:col w:w="11280"/>
          </w:cols>
          <w:pgMar w:left="300" w:top="108"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hanging="240"/>
        <w:spacing w:after="0"/>
        <w:tabs>
          <w:tab w:leader="none" w:pos="500" w:val="left"/>
        </w:tabs>
        <w:numPr>
          <w:ilvl w:val="0"/>
          <w:numId w:val="64"/>
        </w:numPr>
        <w:rPr>
          <w:rFonts w:ascii="Arial" w:cs="Arial" w:eastAsia="Arial" w:hAnsi="Arial"/>
          <w:sz w:val="17"/>
          <w:szCs w:val="17"/>
          <w:color w:val="auto"/>
        </w:rPr>
      </w:pPr>
      <w:r>
        <w:rPr>
          <w:rFonts w:ascii="Times New Roman" w:cs="Times New Roman" w:eastAsia="Times New Roman" w:hAnsi="Times New Roman"/>
          <w:sz w:val="16"/>
          <w:szCs w:val="16"/>
          <w:color w:val="auto"/>
        </w:rPr>
        <w:t>October 24, 2026 as to 5,155 Legacy Warrants outstanding;</w:t>
      </w:r>
    </w:p>
    <w:p>
      <w:pPr>
        <w:spacing w:after="0" w:line="13" w:lineRule="exact"/>
        <w:rPr>
          <w:rFonts w:ascii="Arial" w:cs="Arial" w:eastAsia="Arial" w:hAnsi="Arial"/>
          <w:sz w:val="17"/>
          <w:szCs w:val="17"/>
          <w:color w:val="auto"/>
        </w:rPr>
      </w:pPr>
    </w:p>
    <w:p>
      <w:pPr>
        <w:ind w:left="500" w:hanging="240"/>
        <w:spacing w:after="0"/>
        <w:tabs>
          <w:tab w:leader="none" w:pos="500" w:val="left"/>
        </w:tabs>
        <w:numPr>
          <w:ilvl w:val="0"/>
          <w:numId w:val="64"/>
        </w:numPr>
        <w:rPr>
          <w:rFonts w:ascii="Arial" w:cs="Arial" w:eastAsia="Arial" w:hAnsi="Arial"/>
          <w:sz w:val="17"/>
          <w:szCs w:val="17"/>
          <w:color w:val="auto"/>
        </w:rPr>
      </w:pPr>
      <w:r>
        <w:rPr>
          <w:rFonts w:ascii="Times New Roman" w:cs="Times New Roman" w:eastAsia="Times New Roman" w:hAnsi="Times New Roman"/>
          <w:sz w:val="16"/>
          <w:szCs w:val="16"/>
          <w:color w:val="auto"/>
        </w:rPr>
        <w:t>December 28, 2027 as to 115,916 Legacy Warrants outstanding;</w:t>
      </w:r>
    </w:p>
    <w:p>
      <w:pPr>
        <w:spacing w:after="0" w:line="8" w:lineRule="exact"/>
        <w:rPr>
          <w:rFonts w:ascii="Arial" w:cs="Arial" w:eastAsia="Arial" w:hAnsi="Arial"/>
          <w:sz w:val="17"/>
          <w:szCs w:val="17"/>
          <w:color w:val="auto"/>
        </w:rPr>
      </w:pPr>
    </w:p>
    <w:p>
      <w:pPr>
        <w:ind w:left="500" w:hanging="240"/>
        <w:spacing w:after="0" w:line="231" w:lineRule="auto"/>
        <w:tabs>
          <w:tab w:leader="none" w:pos="500" w:val="left"/>
        </w:tabs>
        <w:numPr>
          <w:ilvl w:val="0"/>
          <w:numId w:val="64"/>
        </w:numPr>
        <w:rPr>
          <w:rFonts w:ascii="Arial" w:cs="Arial" w:eastAsia="Arial" w:hAnsi="Arial"/>
          <w:sz w:val="17"/>
          <w:szCs w:val="17"/>
          <w:color w:val="auto"/>
        </w:rPr>
      </w:pPr>
      <w:r>
        <w:rPr>
          <w:rFonts w:ascii="Times New Roman" w:cs="Times New Roman" w:eastAsia="Times New Roman" w:hAnsi="Times New Roman"/>
          <w:sz w:val="16"/>
          <w:szCs w:val="16"/>
          <w:color w:val="auto"/>
        </w:rPr>
        <w:t>September 12, 2028 as to 20,220 Legacy Warrants outstanding; and</w:t>
      </w:r>
    </w:p>
    <w:p>
      <w:pPr>
        <w:spacing w:after="0" w:line="2" w:lineRule="exact"/>
        <w:rPr>
          <w:rFonts w:ascii="Arial" w:cs="Arial" w:eastAsia="Arial" w:hAnsi="Arial"/>
          <w:sz w:val="17"/>
          <w:szCs w:val="17"/>
          <w:color w:val="auto"/>
        </w:rPr>
      </w:pPr>
    </w:p>
    <w:p>
      <w:pPr>
        <w:ind w:left="500" w:hanging="240"/>
        <w:spacing w:after="0" w:line="231" w:lineRule="auto"/>
        <w:tabs>
          <w:tab w:leader="none" w:pos="500" w:val="left"/>
        </w:tabs>
        <w:numPr>
          <w:ilvl w:val="0"/>
          <w:numId w:val="64"/>
        </w:numPr>
        <w:rPr>
          <w:rFonts w:ascii="Arial" w:cs="Arial" w:eastAsia="Arial" w:hAnsi="Arial"/>
          <w:sz w:val="17"/>
          <w:szCs w:val="17"/>
          <w:color w:val="auto"/>
        </w:rPr>
      </w:pPr>
      <w:r>
        <w:rPr>
          <w:rFonts w:ascii="Times New Roman" w:cs="Times New Roman" w:eastAsia="Times New Roman" w:hAnsi="Times New Roman"/>
          <w:sz w:val="16"/>
          <w:szCs w:val="16"/>
          <w:color w:val="auto"/>
        </w:rPr>
        <w:t>October 19, 2028 as to 20,016 Legacy Warrants outstanding.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Hercules Warrant</w:t>
      </w:r>
    </w:p>
    <w:p>
      <w:pPr>
        <w:ind w:right="60"/>
        <w:spacing w:after="0" w:line="232" w:lineRule="auto"/>
        <w:rPr>
          <w:sz w:val="20"/>
          <w:szCs w:val="20"/>
          <w:color w:val="auto"/>
        </w:rPr>
      </w:pPr>
      <w:r>
        <w:rPr>
          <w:rFonts w:ascii="Times New Roman" w:cs="Times New Roman" w:eastAsia="Times New Roman" w:hAnsi="Times New Roman"/>
          <w:sz w:val="16"/>
          <w:szCs w:val="16"/>
          <w:color w:val="auto"/>
        </w:rPr>
        <w:t>As of December 31, 2022, the Hercules Warrant was outstanding and entitles the holder to purchase 5,000 shares of our common stock at an exercise price of $19.80 per share. The Hercules Warrant expires on March 12, 2029.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Class A Warrants</w:t>
      </w:r>
    </w:p>
    <w:p>
      <w:pPr>
        <w:ind w:right="200"/>
        <w:spacing w:after="0" w:line="237" w:lineRule="auto"/>
        <w:rPr>
          <w:sz w:val="20"/>
          <w:szCs w:val="20"/>
          <w:color w:val="auto"/>
        </w:rPr>
      </w:pPr>
      <w:r>
        <w:rPr>
          <w:rFonts w:ascii="Times New Roman" w:cs="Times New Roman" w:eastAsia="Times New Roman" w:hAnsi="Times New Roman"/>
          <w:sz w:val="14"/>
          <w:szCs w:val="14"/>
          <w:color w:val="auto"/>
        </w:rPr>
        <w:t>In connection with our issuance of securities in a public offering that closed on April 16, 2019, we issued 3,900,000 Class A Warrants, which have an exercise price of $13.20 per share and expire on April 15, 2024. The Class A Warrants became immediately exercisable upon issuance, provided that each holder of Class A Warrants is prohibited, subject to</w:t>
      </w:r>
    </w:p>
    <w:p>
      <w:pPr>
        <w:ind w:right="300"/>
        <w:spacing w:after="0" w:line="229" w:lineRule="auto"/>
        <w:rPr>
          <w:sz w:val="20"/>
          <w:szCs w:val="20"/>
          <w:color w:val="auto"/>
        </w:rPr>
      </w:pPr>
      <w:r>
        <w:rPr>
          <w:rFonts w:ascii="Times New Roman" w:cs="Times New Roman" w:eastAsia="Times New Roman" w:hAnsi="Times New Roman"/>
          <w:sz w:val="14"/>
          <w:szCs w:val="14"/>
          <w:color w:val="auto"/>
        </w:rPr>
        <w:t>certain exceptions, from exercising the Class A Warrant for shares of our common stock to the extent that immediately prior to or after giving effect to such exercise, the holder, together with its affiliates and other attribution parties, would own more than 9.99% of the total number of shares of our common stock then issued and outstanding, which</w:t>
      </w:r>
    </w:p>
    <w:p>
      <w:pPr>
        <w:spacing w:after="0" w:line="237" w:lineRule="auto"/>
        <w:rPr>
          <w:sz w:val="20"/>
          <w:szCs w:val="20"/>
          <w:color w:val="auto"/>
        </w:rPr>
      </w:pPr>
      <w:r>
        <w:rPr>
          <w:rFonts w:ascii="Times New Roman" w:cs="Times New Roman" w:eastAsia="Times New Roman" w:hAnsi="Times New Roman"/>
          <w:sz w:val="14"/>
          <w:szCs w:val="14"/>
          <w:color w:val="auto"/>
        </w:rPr>
        <w:t>percentage may be changed at the holders’ election to a higher or lower percentage not in excess of 19.99% (if exceeding such percentage would result in a change of control under</w:t>
      </w:r>
    </w:p>
    <w:p>
      <w:pPr>
        <w:spacing w:after="0" w:line="1"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6"/>
          <w:szCs w:val="16"/>
          <w:color w:val="auto"/>
        </w:rPr>
        <w:t>Nasdaq Listing Rule 5636(b) or any successor rule) upon 61 days’ notice to us subject to the terms of the Class A Warrants. If there is no effective registration statement at the time of exercise, the Class A Warrants may be exercised cashlessly.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2022, 3,866,154 Class A Warrants were outstanding and remain unexercised.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 Warrants</w:t>
      </w:r>
    </w:p>
    <w:p>
      <w:pPr>
        <w:ind w:right="20"/>
        <w:spacing w:after="0" w:line="224" w:lineRule="auto"/>
        <w:rPr>
          <w:sz w:val="20"/>
          <w:szCs w:val="20"/>
          <w:color w:val="auto"/>
        </w:rPr>
      </w:pPr>
      <w:r>
        <w:rPr>
          <w:rFonts w:ascii="Times New Roman" w:cs="Times New Roman" w:eastAsia="Times New Roman" w:hAnsi="Times New Roman"/>
          <w:sz w:val="16"/>
          <w:szCs w:val="16"/>
          <w:color w:val="auto"/>
        </w:rPr>
        <w:t>In connection with our issuance of securities in a private placement that closed on July 6, 2022, we issued Private Placement Warrants to purchase an aggregate of 50,925,365 shares of common stock or Pre-Funded Warrants. Each Private Placement Warrant has an exercise price equal to $1.095 per share and will expire on July 6, 2027.</w:t>
      </w:r>
    </w:p>
    <w:p>
      <w:pPr>
        <w:spacing w:after="0" w:line="148" w:lineRule="exact"/>
        <w:rPr>
          <w:sz w:val="20"/>
          <w:szCs w:val="20"/>
          <w:color w:val="auto"/>
        </w:rPr>
      </w:pPr>
    </w:p>
    <w:p>
      <w:pPr>
        <w:ind w:right="460"/>
        <w:spacing w:after="0" w:line="242" w:lineRule="auto"/>
        <w:rPr>
          <w:sz w:val="20"/>
          <w:szCs w:val="20"/>
          <w:color w:val="auto"/>
        </w:rPr>
      </w:pPr>
      <w:r>
        <w:rPr>
          <w:rFonts w:ascii="Times New Roman" w:cs="Times New Roman" w:eastAsia="Times New Roman" w:hAnsi="Times New Roman"/>
          <w:sz w:val="14"/>
          <w:szCs w:val="14"/>
          <w:color w:val="auto"/>
        </w:rPr>
        <w:t>The Private Placement Warrants became immediately exercisable upon issuance, provided that each holder of Private Placement Warrants may not exercise any portion of the Private Placement Warrants if such holder, together with its affiliates, would beneficially own in excess of 4.99% or 9.99% of the number of shares of our common stock</w:t>
      </w:r>
    </w:p>
    <w:p>
      <w:pPr>
        <w:spacing w:after="0"/>
        <w:rPr>
          <w:sz w:val="20"/>
          <w:szCs w:val="20"/>
          <w:color w:val="auto"/>
        </w:rPr>
      </w:pPr>
      <w:r>
        <w:rPr>
          <w:rFonts w:ascii="Times New Roman" w:cs="Times New Roman" w:eastAsia="Times New Roman" w:hAnsi="Times New Roman"/>
          <w:sz w:val="14"/>
          <w:szCs w:val="14"/>
          <w:color w:val="auto"/>
        </w:rPr>
        <w:t>outstanding immediately after giving effect to such exercise; provided, however, that each holder may increase or decrease such beneficial ownership limitation by giving 61 days’</w:t>
      </w:r>
    </w:p>
    <w:p>
      <w:pPr>
        <w:ind w:right="200"/>
        <w:spacing w:after="0" w:line="229" w:lineRule="auto"/>
        <w:rPr>
          <w:sz w:val="20"/>
          <w:szCs w:val="20"/>
          <w:color w:val="auto"/>
        </w:rPr>
      </w:pPr>
      <w:r>
        <w:rPr>
          <w:rFonts w:ascii="Times New Roman" w:cs="Times New Roman" w:eastAsia="Times New Roman" w:hAnsi="Times New Roman"/>
          <w:sz w:val="14"/>
          <w:szCs w:val="14"/>
          <w:color w:val="auto"/>
        </w:rPr>
        <w:t>notice to us, but not to any percentage in excess of 19.99%. If the holder is not permitted to exercise a Private Placement Warrant for shares of our common stock due to the foregoing limitation, then the holder may exercise the Private Placement Warrant for an equivalent number of Pre-Funded Warrants with an exercise price of $0.001. If there is no</w:t>
      </w:r>
    </w:p>
    <w:p>
      <w:pPr>
        <w:spacing w:after="0"/>
        <w:rPr>
          <w:sz w:val="20"/>
          <w:szCs w:val="20"/>
          <w:color w:val="auto"/>
        </w:rPr>
      </w:pPr>
      <w:r>
        <w:rPr>
          <w:rFonts w:ascii="Times New Roman" w:cs="Times New Roman" w:eastAsia="Times New Roman" w:hAnsi="Times New Roman"/>
          <w:sz w:val="16"/>
          <w:szCs w:val="16"/>
          <w:color w:val="auto"/>
        </w:rPr>
        <w:t>effective registration statement at the time of exercise, the Private Placement Warrants may be exercised on cashless basis.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2022, 50,925,365 Private Placement Warrants were outstanding and remain unexercised.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Class C Warrants</w:t>
      </w:r>
    </w:p>
    <w:p>
      <w:pPr>
        <w:ind w:right="60"/>
        <w:spacing w:after="0" w:line="229" w:lineRule="auto"/>
        <w:rPr>
          <w:sz w:val="20"/>
          <w:szCs w:val="20"/>
          <w:color w:val="auto"/>
        </w:rPr>
      </w:pPr>
      <w:r>
        <w:rPr>
          <w:rFonts w:ascii="Times New Roman" w:cs="Times New Roman" w:eastAsia="Times New Roman" w:hAnsi="Times New Roman"/>
          <w:sz w:val="14"/>
          <w:szCs w:val="14"/>
          <w:color w:val="auto"/>
        </w:rPr>
        <w:t>In connection with our issuance of securities in a public offering that closed on December 9, 2022, we issued 65,525,894 Class C Warrants, each of which are exercisable at two Class C Warrants for one share of our common stock or Pre-Funded Warrants to purchase shares of our common stock. The Class C Warrants have an exercise price of $1.50 per set</w:t>
      </w:r>
    </w:p>
    <w:p>
      <w:pPr>
        <w:spacing w:after="0" w:line="208" w:lineRule="auto"/>
        <w:rPr>
          <w:sz w:val="20"/>
          <w:szCs w:val="20"/>
          <w:color w:val="auto"/>
        </w:rPr>
      </w:pPr>
      <w:r>
        <w:rPr>
          <w:rFonts w:ascii="Times New Roman" w:cs="Times New Roman" w:eastAsia="Times New Roman" w:hAnsi="Times New Roman"/>
          <w:sz w:val="16"/>
          <w:szCs w:val="16"/>
          <w:color w:val="auto"/>
        </w:rPr>
        <w:t>of two Class C warrants, expire on December 9, 2027 and were immediately exercisable upon issuance, provided that a holder is prohibited, subject to certain exceptions, from</w:t>
      </w:r>
    </w:p>
    <w:p>
      <w:pPr>
        <w:ind w:right="180"/>
        <w:spacing w:after="0" w:line="229" w:lineRule="auto"/>
        <w:rPr>
          <w:sz w:val="20"/>
          <w:szCs w:val="20"/>
          <w:color w:val="auto"/>
        </w:rPr>
      </w:pPr>
      <w:r>
        <w:rPr>
          <w:rFonts w:ascii="Times New Roman" w:cs="Times New Roman" w:eastAsia="Times New Roman" w:hAnsi="Times New Roman"/>
          <w:sz w:val="14"/>
          <w:szCs w:val="14"/>
          <w:color w:val="auto"/>
        </w:rPr>
        <w:t>exercising the Class C Warrant for shares of our common stock to the extent that immediately after giving effect to such exercise, such holder, together with its affiliates and other attribution parties, would own more than 4.99% of the total number of shares of our common stock then issued and outstanding, which percentage may be changed at the holder’s</w:t>
      </w:r>
    </w:p>
    <w:p>
      <w:pPr>
        <w:ind w:right="460"/>
        <w:spacing w:after="0" w:line="224" w:lineRule="auto"/>
        <w:rPr>
          <w:sz w:val="20"/>
          <w:szCs w:val="20"/>
          <w:color w:val="auto"/>
        </w:rPr>
      </w:pPr>
      <w:r>
        <w:rPr>
          <w:rFonts w:ascii="Times New Roman" w:cs="Times New Roman" w:eastAsia="Times New Roman" w:hAnsi="Times New Roman"/>
          <w:sz w:val="16"/>
          <w:szCs w:val="16"/>
          <w:color w:val="auto"/>
        </w:rPr>
        <w:t>election to a higher or lower percentage not in excess of 9.99% upon 61 days’ prior notice from the holder to us subject to the terms of the Class C Warrants. If a holder is not permitted to exercise a Class C Warrant for shares of our common</w:t>
      </w:r>
    </w:p>
    <w:p>
      <w:pPr>
        <w:sectPr>
          <w:pgSz w:w="11900" w:h="16838" w:orient="portrait"/>
          <w:cols w:equalWidth="0" w:num="1">
            <w:col w:w="11280"/>
          </w:cols>
          <w:pgMar w:left="300" w:top="108"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6"/>
          <w:szCs w:val="16"/>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auto"/>
        </w:rPr>
        <w:t>stock due to the foregoing limitation, then the holder may exercise the Class C Warrant for an equivalent number of Pre-Funded Warrants with an exercise price of $0.001. If there is no effective registration statement at the time of exercise, the Class C Warrants may be exercised cashlessly.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2022, 65,525,894 Class C Warrants are outstanding and remain unexercised.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Pre-Funded Warrants</w:t>
      </w:r>
    </w:p>
    <w:p>
      <w:pPr>
        <w:ind w:right="40"/>
        <w:spacing w:after="0" w:line="229" w:lineRule="auto"/>
        <w:rPr>
          <w:sz w:val="20"/>
          <w:szCs w:val="20"/>
          <w:color w:val="auto"/>
        </w:rPr>
      </w:pPr>
      <w:r>
        <w:rPr>
          <w:rFonts w:ascii="Times New Roman" w:cs="Times New Roman" w:eastAsia="Times New Roman" w:hAnsi="Times New Roman"/>
          <w:sz w:val="14"/>
          <w:szCs w:val="14"/>
          <w:color w:val="auto"/>
        </w:rPr>
        <w:t>As of December 31, 2022, there were 24,150,977 Pre-Funded Warrants to purchase shares of our common stock at an exercise price of $0.001 per share as to 21,326,279 Pre-Funded Warrants outstanding and an exercise price of $0.01 per share as to 2,824,698 Pre-Funded Warrants outstanding. The Pre-Funded Warrants are exercisable, subject to certain</w:t>
      </w:r>
    </w:p>
    <w:p>
      <w:pPr>
        <w:spacing w:after="0"/>
        <w:rPr>
          <w:sz w:val="20"/>
          <w:szCs w:val="20"/>
          <w:color w:val="auto"/>
        </w:rPr>
      </w:pPr>
      <w:r>
        <w:rPr>
          <w:rFonts w:ascii="Times New Roman" w:cs="Times New Roman" w:eastAsia="Times New Roman" w:hAnsi="Times New Roman"/>
          <w:sz w:val="16"/>
          <w:szCs w:val="16"/>
          <w:color w:val="auto"/>
        </w:rPr>
        <w:t>beneficial ownership restrictions, at any time after their original issuance and will not expire.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Section 203 of the Delaware General Corporation Law</w:t>
      </w:r>
    </w:p>
    <w:p>
      <w:pPr>
        <w:ind w:right="340"/>
        <w:spacing w:after="0" w:line="199" w:lineRule="auto"/>
        <w:rPr>
          <w:sz w:val="20"/>
          <w:szCs w:val="20"/>
          <w:color w:val="auto"/>
        </w:rPr>
      </w:pPr>
      <w:r>
        <w:rPr>
          <w:rFonts w:ascii="Times New Roman" w:cs="Times New Roman" w:eastAsia="Times New Roman" w:hAnsi="Times New Roman"/>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 w:lineRule="exact"/>
        <w:rPr>
          <w:sz w:val="20"/>
          <w:szCs w:val="20"/>
          <w:color w:val="auto"/>
        </w:rPr>
      </w:pPr>
    </w:p>
    <w:p>
      <w:pPr>
        <w:ind w:left="900" w:right="280" w:hanging="259"/>
        <w:spacing w:after="0" w:line="216" w:lineRule="auto"/>
        <w:tabs>
          <w:tab w:leader="none" w:pos="89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before such date, the board of directors of the corporation approved either the business combination or the transaction that resulted in the stockholder becoming an interested stockholder;</w:t>
      </w:r>
    </w:p>
    <w:p>
      <w:pPr>
        <w:ind w:left="900" w:right="260" w:hanging="259"/>
        <w:spacing w:after="0" w:line="217" w:lineRule="auto"/>
        <w:tabs>
          <w:tab w:leader="none" w:pos="89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 w:lineRule="exact"/>
        <w:rPr>
          <w:rFonts w:ascii="Times New Roman" w:cs="Times New Roman" w:eastAsia="Times New Roman" w:hAnsi="Times New Roman"/>
          <w:sz w:val="16"/>
          <w:szCs w:val="16"/>
          <w:color w:val="auto"/>
        </w:rPr>
      </w:pPr>
    </w:p>
    <w:p>
      <w:pPr>
        <w:ind w:left="900" w:right="260" w:hanging="259"/>
        <w:spacing w:after="0" w:line="217" w:lineRule="auto"/>
        <w:tabs>
          <w:tab w:leader="none" w:pos="89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general, Section 203 defines a “business combination” to include the following:</w:t>
      </w:r>
    </w:p>
    <w:p>
      <w:pPr>
        <w:ind w:left="900" w:hanging="259"/>
        <w:spacing w:after="0" w:line="223"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any merger or consolidation involving the corporation and the interested stockholder;</w:t>
      </w:r>
    </w:p>
    <w:p>
      <w:pPr>
        <w:ind w:left="900" w:hanging="259"/>
        <w:spacing w:after="0" w:line="208"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any sale, transfer, pledge or other disposition of 10% or more of the assets of the corporation involving the interested stockholder;</w:t>
      </w:r>
    </w:p>
    <w:p>
      <w:pPr>
        <w:ind w:left="900" w:hanging="259"/>
        <w:spacing w:after="0" w:line="221" w:lineRule="auto"/>
        <w:tabs>
          <w:tab w:leader="none" w:pos="9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subject to certain exceptions, any transaction that results in the issuance or transfer by the corporation of any stock of the corporation to the interested stockholder;</w:t>
      </w:r>
    </w:p>
    <w:p>
      <w:pPr>
        <w:ind w:left="900" w:right="340" w:hanging="259"/>
        <w:spacing w:after="0" w:line="208" w:lineRule="auto"/>
        <w:tabs>
          <w:tab w:leader="none" w:pos="89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any transaction involving the corporation that has the effect of increasing the proportionate share of the stock or any class or series of the corporation beneficially owned by the interested stockholder; or</w:t>
      </w:r>
    </w:p>
    <w:p>
      <w:pPr>
        <w:ind w:left="900" w:hanging="259"/>
        <w:spacing w:after="0" w:line="226"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receipt by the interested stockholder of the benefit of any loans, advances, guarantees, pledges or other financial benefits by or through the corporation.</w:t>
      </w:r>
    </w:p>
    <w:p>
      <w:pPr>
        <w:spacing w:after="0" w:line="148"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6"/>
          <w:szCs w:val="16"/>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Staggered Board</w:t>
      </w:r>
    </w:p>
    <w:p>
      <w:pPr>
        <w:jc w:val="both"/>
        <w:ind w:right="340"/>
        <w:spacing w:after="0" w:line="229" w:lineRule="auto"/>
        <w:rPr>
          <w:sz w:val="20"/>
          <w:szCs w:val="20"/>
          <w:color w:val="auto"/>
        </w:rPr>
      </w:pPr>
      <w:r>
        <w:rPr>
          <w:rFonts w:ascii="Times New Roman" w:cs="Times New Roman" w:eastAsia="Times New Roman" w:hAnsi="Times New Roman"/>
          <w:sz w:val="14"/>
          <w:szCs w:val="14"/>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w:t>
      </w:r>
    </w:p>
    <w:p>
      <w:pPr>
        <w:spacing w:after="0"/>
        <w:rPr>
          <w:sz w:val="20"/>
          <w:szCs w:val="20"/>
          <w:color w:val="auto"/>
        </w:rPr>
      </w:pPr>
      <w:r>
        <w:rPr>
          <w:rFonts w:ascii="Times New Roman" w:cs="Times New Roman" w:eastAsia="Times New Roman" w:hAnsi="Times New Roman"/>
          <w:sz w:val="16"/>
          <w:szCs w:val="16"/>
          <w:color w:val="auto"/>
        </w:rPr>
        <w:t>Under our restated certificate and by-laws, any vacancy on our</w:t>
      </w:r>
    </w:p>
    <w:p>
      <w:pPr>
        <w:sectPr>
          <w:pgSz w:w="11900" w:h="16838" w:orient="portrait"/>
          <w:cols w:equalWidth="0" w:num="1">
            <w:col w:w="11280"/>
          </w:cols>
          <w:pgMar w:left="300" w:top="108"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including a vacancy resulting from an enlargement of our board of directors, may be filled only by vote of a majority of our directors then in office. Furthermore,</w:t>
      </w:r>
    </w:p>
    <w:p>
      <w:pPr>
        <w:spacing w:after="0" w:line="1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4"/>
          <w:szCs w:val="14"/>
          <w:color w:val="auto"/>
        </w:rPr>
        <w:t>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w:t>
      </w:r>
    </w:p>
    <w:p>
      <w:pPr>
        <w:spacing w:after="0"/>
        <w:rPr>
          <w:sz w:val="20"/>
          <w:szCs w:val="20"/>
          <w:color w:val="auto"/>
        </w:rPr>
      </w:pPr>
      <w:r>
        <w:rPr>
          <w:rFonts w:ascii="Times New Roman" w:cs="Times New Roman" w:eastAsia="Times New Roman" w:hAnsi="Times New Roman"/>
          <w:sz w:val="16"/>
          <w:szCs w:val="16"/>
          <w:color w:val="auto"/>
        </w:rPr>
        <w:t>of directors and fill vacancies could make it more difficult for a third party to acquire, or discourage a third party from seeking to acquire, control of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Authorized but Unissued Shares</w:t>
      </w:r>
    </w:p>
    <w:p>
      <w:pPr>
        <w:ind w:right="220"/>
        <w:spacing w:after="0" w:line="237" w:lineRule="auto"/>
        <w:rPr>
          <w:sz w:val="20"/>
          <w:szCs w:val="20"/>
          <w:color w:val="auto"/>
        </w:rPr>
      </w:pPr>
      <w:r>
        <w:rPr>
          <w:rFonts w:ascii="Times New Roman" w:cs="Times New Roman" w:eastAsia="Times New Roman" w:hAnsi="Times New Roman"/>
          <w:sz w:val="14"/>
          <w:szCs w:val="14"/>
          <w:color w:val="auto"/>
        </w:rPr>
        <w:t>The authorized but unissued shares of common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w:t>
      </w:r>
    </w:p>
    <w:p>
      <w:pPr>
        <w:ind w:right="180"/>
        <w:spacing w:after="0" w:line="217" w:lineRule="auto"/>
        <w:rPr>
          <w:sz w:val="20"/>
          <w:szCs w:val="20"/>
          <w:color w:val="auto"/>
        </w:rPr>
      </w:pPr>
      <w:r>
        <w:rPr>
          <w:rFonts w:ascii="Times New Roman" w:cs="Times New Roman" w:eastAsia="Times New Roman" w:hAnsi="Times New Roman"/>
          <w:sz w:val="16"/>
          <w:szCs w:val="16"/>
          <w:color w:val="auto"/>
        </w:rPr>
        <w:t>existence of authorized but unissued and unreserved common stock could make more difficult or discourage an attempt to obtain control of us by means of a proxy contest, tender offer, merger or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Meeting of Stockholders; Advance Notice Requirements for Stockholder Proposals and Director Nominations; Stockholder Action</w:t>
      </w:r>
    </w:p>
    <w:p>
      <w:pPr>
        <w:ind w:right="220"/>
        <w:spacing w:after="0" w:line="229" w:lineRule="auto"/>
        <w:rPr>
          <w:sz w:val="20"/>
          <w:szCs w:val="20"/>
          <w:color w:val="auto"/>
        </w:rPr>
      </w:pPr>
      <w:r>
        <w:rPr>
          <w:rFonts w:ascii="Times New Roman" w:cs="Times New Roman" w:eastAsia="Times New Roman" w:hAnsi="Times New Roman"/>
          <w:sz w:val="14"/>
          <w:szCs w:val="14"/>
          <w:color w:val="auto"/>
        </w:rPr>
        <w:t>Our restated certificate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restated certificate and our restated by-laws also</w:t>
      </w:r>
    </w:p>
    <w:p>
      <w:pPr>
        <w:spacing w:after="0" w:line="237" w:lineRule="auto"/>
        <w:rPr>
          <w:sz w:val="20"/>
          <w:szCs w:val="20"/>
          <w:color w:val="auto"/>
        </w:rPr>
      </w:pPr>
      <w:r>
        <w:rPr>
          <w:rFonts w:ascii="Times New Roman" w:cs="Times New Roman" w:eastAsia="Times New Roman" w:hAnsi="Times New Roman"/>
          <w:sz w:val="14"/>
          <w:szCs w:val="14"/>
          <w:color w:val="auto"/>
        </w:rPr>
        <w:t>provide that, except as otherwise required by law, special meetings of the stockholders can only be called by the chairman of our board of directors, our chief executive officer or our</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4"/>
          <w:szCs w:val="14"/>
          <w:color w:val="auto"/>
        </w:rPr>
        <w:t>board of directors. In addition, our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w:t>
      </w:r>
    </w:p>
    <w:p>
      <w:pPr>
        <w:spacing w:after="0" w:line="237" w:lineRule="auto"/>
        <w:rPr>
          <w:sz w:val="20"/>
          <w:szCs w:val="20"/>
          <w:color w:val="auto"/>
        </w:rPr>
      </w:pPr>
      <w:r>
        <w:rPr>
          <w:rFonts w:ascii="Times New Roman" w:cs="Times New Roman" w:eastAsia="Times New Roman" w:hAnsi="Times New Roman"/>
          <w:sz w:val="14"/>
          <w:szCs w:val="14"/>
          <w:color w:val="auto"/>
        </w:rPr>
        <w:t>notice of meeting or brought before the meeting by or at the direction of our board of directors, or by a stockholder of record on the record date for the meeting who is entitled to</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4"/>
          <w:szCs w:val="14"/>
          <w:color w:val="auto"/>
        </w:rPr>
        <w:t>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ind w:right="120"/>
        <w:spacing w:after="0" w:line="256" w:lineRule="auto"/>
        <w:rPr>
          <w:sz w:val="20"/>
          <w:szCs w:val="20"/>
          <w:color w:val="auto"/>
        </w:rPr>
      </w:pPr>
      <w:r>
        <w:rPr>
          <w:rFonts w:ascii="Times New Roman" w:cs="Times New Roman" w:eastAsia="Times New Roman" w:hAnsi="Times New Roman"/>
          <w:sz w:val="14"/>
          <w:szCs w:val="14"/>
          <w:color w:val="auto"/>
        </w:rPr>
        <w:t>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Super Majority Voting</w:t>
      </w:r>
    </w:p>
    <w:p>
      <w:pPr>
        <w:ind w:right="160"/>
        <w:spacing w:after="0" w:line="229" w:lineRule="auto"/>
        <w:rPr>
          <w:sz w:val="20"/>
          <w:szCs w:val="20"/>
          <w:color w:val="auto"/>
        </w:rPr>
      </w:pPr>
      <w:r>
        <w:rPr>
          <w:rFonts w:ascii="Times New Roman" w:cs="Times New Roman" w:eastAsia="Times New Roman" w:hAnsi="Times New Roman"/>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amended and restated by-laws may be amended or</w:t>
      </w:r>
    </w:p>
    <w:p>
      <w:pPr>
        <w:spacing w:after="0" w:line="237" w:lineRule="auto"/>
        <w:rPr>
          <w:sz w:val="20"/>
          <w:szCs w:val="20"/>
          <w:color w:val="auto"/>
        </w:rPr>
      </w:pPr>
      <w:r>
        <w:rPr>
          <w:rFonts w:ascii="Times New Roman" w:cs="Times New Roman" w:eastAsia="Times New Roman" w:hAnsi="Times New Roman"/>
          <w:sz w:val="14"/>
          <w:szCs w:val="14"/>
          <w:color w:val="auto"/>
        </w:rPr>
        <w:t>repealed by a majority vote of our board of directors or the affirmative vote of the holders of at least 75% of the votes that all of our stockholders would be entitled to cast in any</w:t>
      </w:r>
    </w:p>
    <w:p>
      <w:pPr>
        <w:spacing w:after="0" w:line="1"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16"/>
          <w:szCs w:val="16"/>
          <w:color w:val="auto"/>
        </w:rPr>
        <w:t>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Exclusive Forum Selection</w:t>
      </w:r>
    </w:p>
    <w:p>
      <w:pPr>
        <w:ind w:right="140"/>
        <w:spacing w:after="0" w:line="229" w:lineRule="auto"/>
        <w:rPr>
          <w:sz w:val="20"/>
          <w:szCs w:val="20"/>
          <w:color w:val="auto"/>
        </w:rPr>
      </w:pPr>
      <w:r>
        <w:rPr>
          <w:rFonts w:ascii="Times New Roman" w:cs="Times New Roman" w:eastAsia="Times New Roman" w:hAnsi="Times New Roman"/>
          <w:sz w:val="14"/>
          <w:szCs w:val="14"/>
          <w:color w:val="auto"/>
        </w:rPr>
        <w:t>Our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w:t>
      </w:r>
    </w:p>
    <w:p>
      <w:pPr>
        <w:spacing w:after="0" w:line="208" w:lineRule="auto"/>
        <w:rPr>
          <w:sz w:val="20"/>
          <w:szCs w:val="20"/>
          <w:color w:val="auto"/>
        </w:rPr>
      </w:pPr>
      <w:r>
        <w:rPr>
          <w:rFonts w:ascii="Times New Roman" w:cs="Times New Roman" w:eastAsia="Times New Roman" w:hAnsi="Times New Roman"/>
          <w:sz w:val="16"/>
          <w:szCs w:val="16"/>
          <w:color w:val="auto"/>
        </w:rPr>
        <w:t>any of our directors, officers, employees or stockholders to our company or our stockholders, (3) any action asserting a claim arising pursuant to any provision of the General</w:t>
      </w:r>
    </w:p>
    <w:p>
      <w:pPr>
        <w:ind w:right="320"/>
        <w:spacing w:after="0" w:line="229" w:lineRule="auto"/>
        <w:rPr>
          <w:sz w:val="20"/>
          <w:szCs w:val="20"/>
          <w:color w:val="auto"/>
        </w:rPr>
      </w:pPr>
      <w:r>
        <w:rPr>
          <w:rFonts w:ascii="Times New Roman" w:cs="Times New Roman" w:eastAsia="Times New Roman" w:hAnsi="Times New Roman"/>
          <w:sz w:val="14"/>
          <w:szCs w:val="14"/>
          <w:color w:val="auto"/>
        </w:rPr>
        <w:t>Corporation Law of the State of Delaware or as to which the General Corporation Law of the State of Delaware confers jurisdiction on the Court of Chancery of the State of Delaware, or (4) any action asserting a claim arising pursuant to any provision of our restated certificate or restated by-laws (in each case, as they may be amended from time to</w:t>
      </w:r>
    </w:p>
    <w:p>
      <w:pPr>
        <w:spacing w:after="0"/>
        <w:rPr>
          <w:sz w:val="20"/>
          <w:szCs w:val="20"/>
          <w:color w:val="auto"/>
        </w:rPr>
      </w:pPr>
      <w:r>
        <w:rPr>
          <w:rFonts w:ascii="Times New Roman" w:cs="Times New Roman" w:eastAsia="Times New Roman" w:hAnsi="Times New Roman"/>
          <w:sz w:val="16"/>
          <w:szCs w:val="16"/>
          <w:color w:val="auto"/>
        </w:rPr>
        <w:t>time) or governed by the internal affairs doctrine. This exclusive forum provision would not apply to suits brought to enforce any liability or duty created by the</w:t>
      </w:r>
    </w:p>
    <w:p>
      <w:pPr>
        <w:sectPr>
          <w:pgSz w:w="11900" w:h="16838" w:orient="portrait"/>
          <w:cols w:equalWidth="0" w:num="1">
            <w:col w:w="11280"/>
          </w:cols>
          <w:pgMar w:left="300" w:top="108"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6"/>
          <w:szCs w:val="16"/>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Act or the Exchange Act or any other claim for which the federal courts have exclusive jurisdiction. To the extent that any such claims may be based upon federal law</w:t>
      </w:r>
    </w:p>
    <w:p>
      <w:pPr>
        <w:spacing w:after="0" w:line="16" w:lineRule="exact"/>
        <w:rPr>
          <w:sz w:val="20"/>
          <w:szCs w:val="20"/>
          <w:color w:val="auto"/>
        </w:rPr>
      </w:pPr>
    </w:p>
    <w:p>
      <w:pPr>
        <w:ind w:right="380"/>
        <w:spacing w:after="0" w:line="200" w:lineRule="auto"/>
        <w:rPr>
          <w:sz w:val="20"/>
          <w:szCs w:val="20"/>
          <w:color w:val="auto"/>
        </w:rPr>
      </w:pPr>
      <w:r>
        <w:rPr>
          <w:rFonts w:ascii="Times New Roman" w:cs="Times New Roman" w:eastAsia="Times New Roman" w:hAnsi="Times New Roman"/>
          <w:sz w:val="16"/>
          <w:szCs w:val="16"/>
          <w:color w:val="auto"/>
        </w:rPr>
        <w:t>claims, Section 27 of the Exchange Act creates exclusive federal jurisdiction over all suits brought to enforce any duty or liability created by the Exchange Act or the rules and regulations thereunder. Furthermore, Section 22 of the</w:t>
      </w:r>
    </w:p>
    <w:p>
      <w:pPr>
        <w:spacing w:after="0" w:line="208" w:lineRule="auto"/>
        <w:rPr>
          <w:sz w:val="20"/>
          <w:szCs w:val="20"/>
          <w:color w:val="auto"/>
        </w:rPr>
      </w:pPr>
      <w:r>
        <w:rPr>
          <w:rFonts w:ascii="Times New Roman" w:cs="Times New Roman" w:eastAsia="Times New Roman" w:hAnsi="Times New Roman"/>
          <w:sz w:val="16"/>
          <w:szCs w:val="16"/>
          <w:color w:val="auto"/>
        </w:rPr>
        <w:t>concurrent jurisdiction for federal and state courts over all suits brought to enforce any duty or liability created by the Securities Act or the rules and regulations thereunder.</w:t>
      </w:r>
    </w:p>
    <w:p>
      <w:pPr>
        <w:spacing w:after="0" w:line="1" w:lineRule="exact"/>
        <w:rPr>
          <w:sz w:val="20"/>
          <w:szCs w:val="20"/>
          <w:color w:val="auto"/>
        </w:rPr>
      </w:pPr>
    </w:p>
    <w:p>
      <w:pPr>
        <w:ind w:right="280"/>
        <w:spacing w:after="0" w:line="217" w:lineRule="auto"/>
        <w:rPr>
          <w:sz w:val="20"/>
          <w:szCs w:val="20"/>
          <w:color w:val="auto"/>
        </w:rPr>
      </w:pPr>
      <w:r>
        <w:rPr>
          <w:rFonts w:ascii="Times New Roman" w:cs="Times New Roman" w:eastAsia="Times New Roman" w:hAnsi="Times New Roman"/>
          <w:sz w:val="16"/>
          <w:szCs w:val="16"/>
          <w:color w:val="auto"/>
        </w:rPr>
        <w:t>Although our restated certificate contains the choice of forum provision described above, it is possible that a court could rule that such a provision is inapplicable for a particular claim or action or that such provision is unenforceable.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Agent and Registrar</w:t>
      </w:r>
    </w:p>
    <w:p>
      <w:pPr>
        <w:spacing w:after="0"/>
        <w:rPr>
          <w:sz w:val="20"/>
          <w:szCs w:val="20"/>
          <w:color w:val="auto"/>
        </w:rPr>
      </w:pPr>
      <w:r>
        <w:rPr>
          <w:rFonts w:ascii="Times New Roman" w:cs="Times New Roman" w:eastAsia="Times New Roman" w:hAnsi="Times New Roman"/>
          <w:sz w:val="16"/>
          <w:szCs w:val="16"/>
          <w:color w:val="auto"/>
        </w:rPr>
        <w:t>The transfer agent and registrar for our common stock is Computershare Trust Company, N.A., with offices at 250 Royall Street, Canton, Massachusetts 02021.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Listing on Nasdaq</w:t>
      </w:r>
    </w:p>
    <w:p>
      <w:pPr>
        <w:spacing w:after="0"/>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“XFOR.”</w:t>
      </w:r>
    </w:p>
    <w:p>
      <w:pPr>
        <w:sectPr>
          <w:pgSz w:w="11900" w:h="16838" w:orient="portrait"/>
          <w:cols w:equalWidth="0" w:num="1">
            <w:col w:w="11280"/>
          </w:cols>
          <w:pgMar w:left="300" w:top="108"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X4 PHARMACEUTICALS, INC.</w:t>
      </w:r>
    </w:p>
    <w:p>
      <w:pPr>
        <w:spacing w:after="0" w:line="14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DIRECTOR COMPENSATION POLICY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(Last modified: March 2, 2023)</w:t>
      </w:r>
    </w:p>
    <w:p>
      <w:pPr>
        <w:spacing w:after="0" w:line="13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4"/>
          <w:szCs w:val="14"/>
          <w:color w:val="auto"/>
        </w:rPr>
        <w:t>The Board of Directors (the “Board”) of X4 Pharmaceuticals, Inc. (the “Company”), has approved the following Director Compensation Policy under which the Company’s non-employee directors shall receive the following compensation for their service as members of the Board.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64"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4"/>
          <w:szCs w:val="14"/>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mix of cash and equity-based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$35,000 annual cash retainer will be paid to each non-employee director for his or her service on the Board, and additional annual cash retainer(s) will be paid to the chairperson of the Board (if</w:t>
      </w:r>
    </w:p>
    <w:p>
      <w:pPr>
        <w:spacing w:after="0" w:line="4" w:lineRule="exact"/>
        <w:rPr>
          <w:sz w:val="20"/>
          <w:szCs w:val="20"/>
          <w:color w:val="auto"/>
        </w:rPr>
      </w:pPr>
    </w:p>
    <w:p>
      <w:pPr>
        <w:ind w:right="540"/>
        <w:spacing w:after="0" w:line="228" w:lineRule="auto"/>
        <w:rPr>
          <w:sz w:val="20"/>
          <w:szCs w:val="20"/>
          <w:color w:val="auto"/>
        </w:rPr>
      </w:pPr>
      <w:r>
        <w:rPr>
          <w:rFonts w:ascii="Times New Roman" w:cs="Times New Roman" w:eastAsia="Times New Roman" w:hAnsi="Times New Roman"/>
          <w:sz w:val="14"/>
          <w:szCs w:val="14"/>
          <w:color w:val="auto"/>
        </w:rPr>
        <w:t>one is then appointed), each non-employee director chairperson of a committee of the Board, and each non-employee director serving as a member of a committee of the Board (other than as chairperson of such committee) as follows:</w:t>
      </w:r>
    </w:p>
    <w:p>
      <w:pPr>
        <w:spacing w:after="0" w:line="258"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6100" w:type="dxa"/>
            <w:vAlign w:val="bottom"/>
          </w:tcPr>
          <w:p>
            <w:pPr>
              <w:spacing w:after="0"/>
              <w:rPr>
                <w:sz w:val="11"/>
                <w:szCs w:val="11"/>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Additional Annual Cash</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 Annual</w:t>
            </w:r>
          </w:p>
        </w:tc>
      </w:tr>
      <w:tr>
        <w:trPr>
          <w:trHeight w:val="117"/>
        </w:trPr>
        <w:tc>
          <w:tcPr>
            <w:tcW w:w="6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tcPr>
          <w:p>
            <w:pPr>
              <w:jc w:val="center"/>
              <w:ind w:right="1080"/>
              <w:spacing w:after="0" w:line="117" w:lineRule="exact"/>
              <w:rPr>
                <w:sz w:val="20"/>
                <w:szCs w:val="20"/>
                <w:color w:val="auto"/>
              </w:rPr>
            </w:pPr>
            <w:r>
              <w:rPr>
                <w:rFonts w:ascii="Times New Roman" w:cs="Times New Roman" w:eastAsia="Times New Roman" w:hAnsi="Times New Roman"/>
                <w:sz w:val="11"/>
                <w:szCs w:val="11"/>
                <w:b w:val="1"/>
                <w:bCs w:val="1"/>
                <w:color w:val="auto"/>
              </w:rPr>
              <w:t>Retainer</w:t>
            </w: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Cash Retainer</w:t>
            </w:r>
          </w:p>
        </w:tc>
      </w:tr>
      <w:tr>
        <w:trPr>
          <w:trHeight w:val="115"/>
        </w:trPr>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2"/>
          </w:tcPr>
          <w:p>
            <w:pPr>
              <w:jc w:val="center"/>
              <w:ind w:right="1060"/>
              <w:spacing w:after="0" w:line="115" w:lineRule="exact"/>
              <w:rPr>
                <w:sz w:val="20"/>
                <w:szCs w:val="20"/>
                <w:color w:val="auto"/>
              </w:rPr>
            </w:pPr>
            <w:r>
              <w:rPr>
                <w:rFonts w:ascii="Times New Roman" w:cs="Times New Roman" w:eastAsia="Times New Roman" w:hAnsi="Times New Roman"/>
                <w:sz w:val="11"/>
                <w:szCs w:val="11"/>
                <w:b w:val="1"/>
                <w:bCs w:val="1"/>
                <w:color w:val="auto"/>
              </w:rPr>
              <w:t>Amount for</w:t>
            </w:r>
          </w:p>
        </w:tc>
        <w:tc>
          <w:tcPr>
            <w:tcW w:w="100" w:type="dxa"/>
            <w:vAlign w:val="bottom"/>
          </w:tcPr>
          <w:p>
            <w:pPr>
              <w:spacing w:after="0"/>
              <w:rPr>
                <w:sz w:val="9"/>
                <w:szCs w:val="9"/>
                <w:color w:val="auto"/>
              </w:rPr>
            </w:pPr>
          </w:p>
        </w:tc>
        <w:tc>
          <w:tcPr>
            <w:tcW w:w="11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Amount for</w:t>
            </w:r>
          </w:p>
        </w:tc>
      </w:tr>
      <w:tr>
        <w:trPr>
          <w:trHeight w:val="154"/>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b w:val="1"/>
                <w:bCs w:val="1"/>
                <w:color w:val="auto"/>
              </w:rPr>
              <w:t>Chairperson</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Member</w:t>
            </w:r>
          </w:p>
        </w:tc>
      </w:tr>
      <w:tr>
        <w:trPr>
          <w:trHeight w:val="176"/>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Board of Directors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Audit Committee</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5"/>
                <w:szCs w:val="15"/>
                <w:color w:val="auto"/>
              </w:rPr>
            </w:pPr>
          </w:p>
        </w:tc>
      </w:tr>
      <w:tr>
        <w:trPr>
          <w:trHeight w:val="18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Committee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5"/>
                <w:szCs w:val="15"/>
                <w:color w:val="auto"/>
              </w:rPr>
            </w:pPr>
          </w:p>
        </w:tc>
      </w:tr>
      <w:tr>
        <w:trPr>
          <w:trHeight w:val="184"/>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Nominating and Corporate Governance Committee</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r>
    </w:tbl>
    <w:p>
      <w:pPr>
        <w:spacing w:after="0" w:line="21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4"/>
          <w:szCs w:val="14"/>
          <w:color w:val="auto"/>
        </w:rPr>
        <w:t>The foregoing cash retainer amounts will be payable in arrears in four equal quarterly installments on the last day of each quarter, provided that the amount of such payment will be prorated for any portion of such quarter that the director is not serving on our Board, on such committee or in such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w:t>
      </w:r>
    </w:p>
    <w:p>
      <w:pPr>
        <w:spacing w:after="0" w:line="64"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4"/>
          <w:szCs w:val="14"/>
          <w:u w:val="single" w:color="auto"/>
          <w:color w:val="auto"/>
        </w:rPr>
        <w:t>Initial Grants</w:t>
      </w:r>
      <w:r>
        <w:rPr>
          <w:rFonts w:ascii="Times New Roman" w:cs="Times New Roman" w:eastAsia="Times New Roman" w:hAnsi="Times New Roman"/>
          <w:sz w:val="14"/>
          <w:szCs w:val="14"/>
          <w:color w:val="auto"/>
        </w:rPr>
        <w:t>. Upon initial election to our Board, such non-employee director will be granted, automatically and without the need for any further action by the Board, an initial equity award of 90,000 restricted stock units (“RSUs”) with respect to shares of our common stock. The initial award shall vest over a three-year period, with one-third of the initial award vesting on each of the first, second</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4"/>
          <w:szCs w:val="14"/>
          <w:color w:val="auto"/>
        </w:rPr>
        <w:t>and third anniversaries of the grant date of the award, in each case, subject to the director’s continued service as a director, employee or consultant with the Company through each applicable vesting date. The vesting of such award shall accelerate as to 100% of the award upon a change in control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Annual Grants</w:t>
      </w:r>
      <w:r>
        <w:rPr>
          <w:rFonts w:ascii="Times New Roman" w:cs="Times New Roman" w:eastAsia="Times New Roman" w:hAnsi="Times New Roman"/>
          <w:sz w:val="14"/>
          <w:szCs w:val="14"/>
          <w:color w:val="auto"/>
        </w:rPr>
        <w:t>. Each continuing non-employee director who has served as a member of our Board for at least six months prior to the date of our annual meeting of stockholders for a particular year</w:t>
      </w:r>
    </w:p>
    <w:p>
      <w:pPr>
        <w:spacing w:after="0" w:line="4"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4"/>
          <w:szCs w:val="14"/>
          <w:color w:val="auto"/>
        </w:rPr>
        <w:t>will be granted, automatically and without the need for any further action by the Board, an equity award on the date of our annual meeting of stockholders for such year equal to 45,000 RSUs with respect to shares of our common stock. The annual award shall vest in full on the one-year anniversary of the grant date of the award (or, if earlier, the date of our next annual meeting of stockholders following the date of grant of the award), subject to the director’s continued service as a director, employee or consultant with the Company through such vesting date. The vesting of such award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 as to 100% of the award upon a change in control of the Company.</w:t>
      </w:r>
    </w:p>
    <w:p>
      <w:pPr>
        <w:spacing w:after="0" w:line="13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The foregoing share amounts shall be automatically adjusted in the event of any stock split, reverse stock split, stock dividend, recapitalization, combination of shares, reclassification of shares, spin-off or other similar change in</w:t>
      </w:r>
    </w:p>
    <w:p>
      <w:pPr>
        <w:sectPr>
          <w:pgSz w:w="11900" w:h="16838" w:orient="portrait"/>
          <w:cols w:equalWidth="0" w:num="1">
            <w:col w:w="11280"/>
          </w:cols>
          <w:pgMar w:left="300" w:top="129"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capitalization or event effecting our common stock, or any distribution to holders of our common stock other than an ordinary cash dividend.</w:t>
      </w:r>
    </w:p>
    <w:p>
      <w:pPr>
        <w:spacing w:after="0" w:line="147"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4"/>
          <w:szCs w:val="14"/>
          <w:color w:val="auto"/>
        </w:rPr>
        <w:t>The initial awards and the annual awards shall be subject to the terms and conditions of our Amended and Restated 2017 Equity Incentive Plan, as may be amended from time to time, or any successor plan, and the terms of the RSU award agreements entered into with each director in connection with such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presentation of documentation of such expenses reasonably satisfactory to the Company, each non-employee director shall be reimbursed for his or her reasonable out-of-pocket business</w:t>
      </w:r>
    </w:p>
    <w:p>
      <w:pPr>
        <w:spacing w:after="0" w:line="4"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4"/>
          <w:szCs w:val="14"/>
          <w:color w:val="auto"/>
        </w:rPr>
        <w:t>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ectPr>
          <w:pgSz w:w="11900" w:h="16838" w:orient="portrait"/>
          <w:cols w:equalWidth="0" w:num="1">
            <w:col w:w="11280"/>
          </w:cols>
          <w:pgMar w:left="300" w:top="129"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687070</wp:posOffset>
            </wp:positionV>
            <wp:extent cx="983615" cy="8489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3">
                      <a:extLst>
                        <a:ext uri="{28A0092B-C50C-407E-A947-70E740481C1C}"/>
                      </a:extLst>
                    </a:blip>
                    <a:srcRect/>
                    <a:stretch>
                      <a:fillRect/>
                    </a:stretch>
                  </pic:blipFill>
                  <pic:spPr bwMode="auto">
                    <a:xfrm>
                      <a:off x="0" y="0"/>
                      <a:ext cx="98361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EMPLOYMENT AGREEMENT</w:t>
      </w:r>
    </w:p>
    <w:p>
      <w:pPr>
        <w:spacing w:after="0" w:line="339"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THIS EXECUTIVE EMPLOYMENT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November 14, 2022,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by and between X4 Pharmaceuticals,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Murray Stewart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(collectively referred to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or individually referred to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R E C I T A L S</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WHEREAS, the Company desires to employ Executive as its Chief Medical Officer, and to enter into an agreement embodying the terms of such</w:t>
      </w:r>
    </w:p>
    <w:p>
      <w:pPr>
        <w:spacing w:after="0"/>
        <w:rPr>
          <w:sz w:val="20"/>
          <w:szCs w:val="20"/>
          <w:color w:val="auto"/>
        </w:rPr>
      </w:pPr>
      <w:r>
        <w:rPr>
          <w:rFonts w:ascii="Times New Roman" w:cs="Times New Roman" w:eastAsia="Times New Roman" w:hAnsi="Times New Roman"/>
          <w:sz w:val="17"/>
          <w:szCs w:val="17"/>
          <w:color w:val="auto"/>
        </w:rPr>
        <w:t>employment;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WHEREAS, Executive desires to accept such employment and enter into such an agreement.</w:t>
      </w:r>
    </w:p>
    <w:p>
      <w:pPr>
        <w:spacing w:after="0" w:line="1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A G R E E M E N T</w:t>
      </w:r>
    </w:p>
    <w:p>
      <w:pPr>
        <w:spacing w:after="0" w:line="14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NOW, THEREFORE, in consideration of the premises and mutual covenants herein and for other good and valuable consideration, the Parties agree as follows:</w:t>
      </w:r>
    </w:p>
    <w:p>
      <w:pPr>
        <w:spacing w:after="0" w:line="122" w:lineRule="exact"/>
        <w:rPr>
          <w:sz w:val="20"/>
          <w:szCs w:val="20"/>
          <w:color w:val="auto"/>
        </w:rPr>
      </w:pPr>
    </w:p>
    <w:p>
      <w:pPr>
        <w:ind w:left="1020" w:hanging="506"/>
        <w:spacing w:after="0"/>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Duties and Scope of Employment</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Positions and Duties</w:t>
      </w:r>
      <w:r>
        <w:rPr>
          <w:rFonts w:ascii="Times New Roman" w:cs="Times New Roman" w:eastAsia="Times New Roman" w:hAnsi="Times New Roman"/>
          <w:sz w:val="17"/>
          <w:szCs w:val="17"/>
          <w:color w:val="auto"/>
        </w:rPr>
        <w:t>. As of November 14, 2022 (the “</w:t>
      </w:r>
      <w:r>
        <w:rPr>
          <w:rFonts w:ascii="Times New Roman" w:cs="Times New Roman" w:eastAsia="Times New Roman" w:hAnsi="Times New Roman"/>
          <w:sz w:val="17"/>
          <w:szCs w:val="17"/>
          <w:u w:val="single" w:color="auto"/>
          <w:color w:val="auto"/>
        </w:rPr>
        <w:t>Start Date</w:t>
      </w:r>
      <w:r>
        <w:rPr>
          <w:rFonts w:ascii="Times New Roman" w:cs="Times New Roman" w:eastAsia="Times New Roman" w:hAnsi="Times New Roman"/>
          <w:sz w:val="17"/>
          <w:szCs w:val="17"/>
          <w:color w:val="auto"/>
        </w:rPr>
        <w:t>”), Executive will serve as Chief Medical Officer of the Company. Executive will render such business and professional services in the performance of Executive’s duties, consistent with Executive’s position within the Company, as shall reasonably be assigned to Executive by the Company’s Chief Executive Officer. The period of Executive’s at-will employment under the terms of this Agreement is referred to herein as the “</w:t>
      </w:r>
      <w:r>
        <w:rPr>
          <w:rFonts w:ascii="Times New Roman" w:cs="Times New Roman" w:eastAsia="Times New Roman" w:hAnsi="Times New Roman"/>
          <w:sz w:val="17"/>
          <w:szCs w:val="17"/>
          <w:u w:val="single" w:color="auto"/>
          <w:color w:val="auto"/>
        </w:rPr>
        <w:t>Employment Term</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that may create a conflict of interest or interfere with Executive’s duties to the Company, without the prior approval of the Company’s Chief Executive Officer</w:t>
      </w:r>
    </w:p>
    <w:p>
      <w:pPr>
        <w:spacing w:after="0" w:line="122" w:lineRule="exact"/>
        <w:rPr>
          <w:rFonts w:ascii="Times New Roman" w:cs="Times New Roman" w:eastAsia="Times New Roman" w:hAnsi="Times New Roman"/>
          <w:sz w:val="17"/>
          <w:szCs w:val="17"/>
          <w:color w:val="auto"/>
        </w:rPr>
      </w:pPr>
    </w:p>
    <w:p>
      <w:pPr>
        <w:jc w:val="both"/>
        <w:ind w:firstLine="1023"/>
        <w:spacing w:after="0" w:line="218" w:lineRule="auto"/>
        <w:tabs>
          <w:tab w:leader="none" w:pos="152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xml:space="preserve">. As a condition of Executive’s employment, Executive certifies to the Company that: (a) Executive is free to enter into and fully perform the duties of Executive’s position; (b) Executive is not subject to any employment, confidentiality, non-competition or other agreement that would restrict Executive’s performance for the Company; (c) Executive’s signing this Agreement does not violate any order, judgment or injunction applicable to Executive, or conflict with or breach any agreement to which Executive is a party or by which Executive is bound; and (d) all facts Executive has presented to the Company are accurate and true, including, but not limited to, all oral and written statements Executive has made (including those pertaining to Executive’s education, training, qualifications, licensing and prior work experience) in any job application, resume, </w:t>
      </w:r>
      <w:r>
        <w:rPr>
          <w:rFonts w:ascii="Times New Roman" w:cs="Times New Roman" w:eastAsia="Times New Roman" w:hAnsi="Times New Roman"/>
          <w:sz w:val="17"/>
          <w:szCs w:val="17"/>
          <w:i w:val="1"/>
          <w:iCs w:val="1"/>
          <w:color w:val="auto"/>
        </w:rPr>
        <w:t>c.v.</w:t>
      </w:r>
      <w:r>
        <w:rPr>
          <w:rFonts w:ascii="Times New Roman" w:cs="Times New Roman" w:eastAsia="Times New Roman" w:hAnsi="Times New Roman"/>
          <w:sz w:val="17"/>
          <w:szCs w:val="17"/>
          <w:color w:val="auto"/>
        </w:rPr>
        <w:t>, interview or discussion with the Company.</w:t>
      </w:r>
    </w:p>
    <w:p>
      <w:pPr>
        <w:spacing w:after="0" w:line="122" w:lineRule="exact"/>
        <w:rPr>
          <w:rFonts w:ascii="Times New Roman" w:cs="Times New Roman" w:eastAsia="Times New Roman" w:hAnsi="Times New Roman"/>
          <w:sz w:val="17"/>
          <w:szCs w:val="17"/>
          <w:color w:val="auto"/>
        </w:rPr>
      </w:pPr>
    </w:p>
    <w:p>
      <w:pPr>
        <w:ind w:firstLine="514"/>
        <w:spacing w:after="0" w:line="238" w:lineRule="auto"/>
        <w:tabs>
          <w:tab w:leader="none" w:pos="101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At-Will Employment</w:t>
      </w:r>
      <w:r>
        <w:rPr>
          <w:rFonts w:ascii="Times New Roman" w:cs="Times New Roman" w:eastAsia="Times New Roman" w:hAnsi="Times New Roman"/>
          <w:sz w:val="17"/>
          <w:szCs w:val="17"/>
          <w:color w:val="auto"/>
        </w:rPr>
        <w:t>. The parties agree that Executive's employment with the Company will be “at-will” employment and may be terminated at any time with or without cause or notice, for any reason or no</w:t>
      </w:r>
    </w:p>
    <w:p>
      <w:pPr>
        <w:sectPr>
          <w:pgSz w:w="11900" w:h="16838" w:orient="portrait"/>
          <w:cols w:equalWidth="0" w:num="1">
            <w:col w:w="11280"/>
          </w:cols>
          <w:pgMar w:left="300" w:top="104" w:right="319" w:bottom="1440" w:gutter="0" w:footer="0" w:header="0"/>
        </w:sectPr>
      </w:pPr>
    </w:p>
    <w:bookmarkStart w:id="124" w:name="page125"/>
    <w:bookmarkEnd w:id="124"/>
    <w:p>
      <w:pPr>
        <w:spacing w:after="0" w:line="238" w:lineRule="auto"/>
        <w:rPr>
          <w:sz w:val="20"/>
          <w:szCs w:val="20"/>
          <w:color w:val="auto"/>
        </w:rPr>
      </w:pPr>
      <w:r>
        <w:rPr>
          <w:rFonts w:ascii="Times New Roman" w:cs="Times New Roman" w:eastAsia="Times New Roman" w:hAnsi="Times New Roman"/>
          <w:sz w:val="17"/>
          <w:szCs w:val="17"/>
          <w:color w:val="auto"/>
        </w:rPr>
        <w:t>reason.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w:t>
      </w:r>
    </w:p>
    <w:p>
      <w:pPr>
        <w:spacing w:after="0" w:line="122" w:lineRule="exact"/>
        <w:rPr>
          <w:sz w:val="20"/>
          <w:szCs w:val="20"/>
          <w:color w:val="auto"/>
        </w:rPr>
      </w:pPr>
    </w:p>
    <w:p>
      <w:pPr>
        <w:ind w:left="1020" w:hanging="506"/>
        <w:spacing w:after="0"/>
        <w:tabs>
          <w:tab w:leader="none" w:pos="10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5"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During the Employment Term, the Company will initially pay Executive as compensation for Executive’s services a base salary at a rate of $508,500.00 per year, as modified from time to time at the discretion of the Company (the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The Base Salary will be paid in regular installments in accordance with the Company’s normal payroll practices (subject to required withholding). Any increase or decrease in Base Salary (together with the then existing Base Salary) shall serve as the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for future employment under this Agreement. The first and last payment will be adjusted, if necessary, to reflect a commencement or termination date other than the first or last working day of a pay period.</w:t>
      </w:r>
    </w:p>
    <w:p>
      <w:pPr>
        <w:spacing w:after="0" w:line="122" w:lineRule="exact"/>
        <w:rPr>
          <w:rFonts w:ascii="Times New Roman" w:cs="Times New Roman" w:eastAsia="Times New Roman" w:hAnsi="Times New Roman"/>
          <w:sz w:val="17"/>
          <w:szCs w:val="17"/>
          <w:color w:val="auto"/>
        </w:rPr>
      </w:pPr>
    </w:p>
    <w:p>
      <w:pPr>
        <w:jc w:val="both"/>
        <w:ind w:firstLine="1023"/>
        <w:spacing w:after="0" w:line="233" w:lineRule="auto"/>
        <w:tabs>
          <w:tab w:leader="none" w:pos="1524" w:val="left"/>
        </w:tabs>
        <w:numPr>
          <w:ilvl w:val="2"/>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Bonus</w:t>
      </w:r>
      <w:r>
        <w:rPr>
          <w:rFonts w:ascii="Times New Roman" w:cs="Times New Roman" w:eastAsia="Times New Roman" w:hAnsi="Times New Roman"/>
          <w:sz w:val="16"/>
          <w:szCs w:val="16"/>
          <w:color w:val="auto"/>
        </w:rPr>
        <w:t>. For 2022 and 2023, Executive will be eligible to earn an annual discretionary bonus with a target amount equal to 40% of the Base Salary (“</w:t>
      </w:r>
      <w:r>
        <w:rPr>
          <w:rFonts w:ascii="Times New Roman" w:cs="Times New Roman" w:eastAsia="Times New Roman" w:hAnsi="Times New Roman"/>
          <w:sz w:val="16"/>
          <w:szCs w:val="16"/>
          <w:u w:val="single" w:color="auto"/>
          <w:color w:val="auto"/>
        </w:rPr>
        <w:t>Target Bonus</w:t>
      </w:r>
      <w:r>
        <w:rPr>
          <w:rFonts w:ascii="Times New Roman" w:cs="Times New Roman" w:eastAsia="Times New Roman" w:hAnsi="Times New Roman"/>
          <w:sz w:val="16"/>
          <w:szCs w:val="16"/>
          <w:color w:val="auto"/>
        </w:rPr>
        <w:t>”). The amount of the Target Bonus, if any, will be (i) prorated based on the total days the Executive is employed during the calendar year,</w:t>
      </w:r>
    </w:p>
    <w:p>
      <w:pPr>
        <w:jc w:val="both"/>
        <w:ind w:firstLine="5"/>
        <w:spacing w:after="0" w:line="218" w:lineRule="auto"/>
        <w:tabs>
          <w:tab w:leader="none" w:pos="25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in the sole discretion of the Company, and (iii) based, in part, on Executive’s performance and the performance of the Company during the calendar year. For the 2022 Target Bonus, the Company will pay Executive the Target Bonus, if any, by no later than March 15th of the following calendar year. For the 2023 Target Bonus, the Company will pay Executive the Target Bonus, if any, on the first regular payroll date following the date that Executive’s employment is terminated by the Company or on the first regular payroll date following the end of the Notice Period (as defined below) if Executive Resigns.</w:t>
      </w:r>
    </w:p>
    <w:p>
      <w:pPr>
        <w:spacing w:after="0" w:line="120" w:lineRule="exact"/>
        <w:rPr>
          <w:rFonts w:ascii="Times New Roman" w:cs="Times New Roman" w:eastAsia="Times New Roman" w:hAnsi="Times New Roman"/>
          <w:sz w:val="17"/>
          <w:szCs w:val="17"/>
          <w:color w:val="auto"/>
        </w:rPr>
      </w:pPr>
    </w:p>
    <w:p>
      <w:pPr>
        <w:jc w:val="both"/>
        <w:ind w:firstLine="514"/>
        <w:spacing w:after="0" w:line="223" w:lineRule="auto"/>
        <w:tabs>
          <w:tab w:leader="none" w:pos="10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 During the Employment Term, Executive may take advantage of various benefits offered by the Company, such as group medical insurance, dental insurance, short-term disability, long-term disability and the Company’s 401(k) plan. Executive will also be entitled to fifteen (15) days of paid time off per year, as well as two (2) personal days and twelve (12) paid holidays, exclusive of any sick days Executive may need. These benefits may be modified or changed from time to time at the sole discretion of the Company. The details of the Company’s full benefit offerings can be found in its Employee Handbook.</w:t>
      </w:r>
    </w:p>
    <w:p>
      <w:pPr>
        <w:spacing w:after="0" w:line="122" w:lineRule="exact"/>
        <w:rPr>
          <w:rFonts w:ascii="Times New Roman" w:cs="Times New Roman" w:eastAsia="Times New Roman" w:hAnsi="Times New Roman"/>
          <w:sz w:val="17"/>
          <w:szCs w:val="17"/>
          <w:color w:val="auto"/>
        </w:rPr>
      </w:pPr>
    </w:p>
    <w:p>
      <w:pPr>
        <w:jc w:val="both"/>
        <w:ind w:firstLine="514"/>
        <w:spacing w:after="0" w:line="216" w:lineRule="auto"/>
        <w:tabs>
          <w:tab w:leader="none" w:pos="10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Expenses</w:t>
      </w:r>
      <w:r>
        <w:rPr>
          <w:rFonts w:ascii="Times New Roman" w:cs="Times New Roman" w:eastAsia="Times New Roman" w:hAnsi="Times New Roman"/>
          <w:sz w:val="17"/>
          <w:szCs w:val="17"/>
          <w:color w:val="auto"/>
        </w:rPr>
        <w:t>. During the Employment Term, the Company will reimburse Executive for reasonable business travel, entertainment or other business expenses incurred by Executive in the furtherance of or in connection with the performance of Executive’s duties hereunder, in accordance with the Company’s expense reimbursement policy as in effect from time to time. All reimbursements provided under this Agreement will be made or provided in accordance with the requirements of Section 409A of the Internal Revenue Code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and the rules and regulations thereunder,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shall be made no later than the last day of the calendar year following the year in which the expense is incurred; and (iv) the right to reimbursement or in kind benefits is not subject to liquidation or exchange for another benefit.</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349" w:right="319" w:bottom="1440" w:gutter="0" w:footer="0" w:header="0"/>
        </w:sectPr>
      </w:pPr>
    </w:p>
    <w:bookmarkStart w:id="125" w:name="page126"/>
    <w:bookmarkEnd w:id="125"/>
    <w:p>
      <w:pPr>
        <w:ind w:left="840" w:hanging="506"/>
        <w:spacing w:after="0"/>
        <w:tabs>
          <w:tab w:leader="none" w:pos="8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left="-180" w:firstLine="1023"/>
        <w:spacing w:after="0" w:line="217" w:lineRule="auto"/>
        <w:tabs>
          <w:tab w:leader="none" w:pos="134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Notwithstanding any other provision of this Agreement, the Company may terminate Executive’s employment at any time, which shall be effective on the date the Company gives notice to Employee of such termination in accordance with this Agreement unless otherwise agreed by the Parties. Executive may resign from Executive’s employment with the Company, provided that Executive provide at least four (4) weeks prior written notice (the “</w:t>
      </w:r>
      <w:r>
        <w:rPr>
          <w:rFonts w:ascii="Times New Roman" w:cs="Times New Roman" w:eastAsia="Times New Roman" w:hAnsi="Times New Roman"/>
          <w:sz w:val="17"/>
          <w:szCs w:val="17"/>
          <w:u w:val="single" w:color="auto"/>
          <w:color w:val="auto"/>
        </w:rPr>
        <w:t>Notice Period</w:t>
      </w:r>
      <w:r>
        <w:rPr>
          <w:rFonts w:ascii="Times New Roman" w:cs="Times New Roman" w:eastAsia="Times New Roman" w:hAnsi="Times New Roman"/>
          <w:sz w:val="17"/>
          <w:szCs w:val="17"/>
          <w:color w:val="auto"/>
        </w:rPr>
        <w:t>”). Such resignation shall be effective upon the expiration of the Notice Period. In the event that the Company accelerates the effective date of a resignation, such acceleration will result in the date selected by the Company serving as Executive’s final day of employment without any obligation for the Company to pay Executive’s Base Salary for any days that remain in the Notice Period after such date. Executive’s employment will terminate automatically upon Executive’s Death or, upon fourteen (14) days prior written notice from the Company, in the event of Disability.</w:t>
      </w:r>
    </w:p>
    <w:p>
      <w:pPr>
        <w:spacing w:after="0" w:line="120" w:lineRule="exact"/>
        <w:rPr>
          <w:rFonts w:ascii="Times New Roman" w:cs="Times New Roman" w:eastAsia="Times New Roman" w:hAnsi="Times New Roman"/>
          <w:sz w:val="17"/>
          <w:szCs w:val="17"/>
          <w:color w:val="auto"/>
        </w:rPr>
      </w:pPr>
    </w:p>
    <w:p>
      <w:pPr>
        <w:jc w:val="both"/>
        <w:ind w:left="-180" w:firstLine="1023"/>
        <w:spacing w:after="0" w:line="218" w:lineRule="auto"/>
        <w:tabs>
          <w:tab w:leader="none" w:pos="1344"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Upon any termination of Executive’s employment, including by the Company or based on Executive’s resignation or based on Executive’s death or Disability, Executive shall be entitled to: (i) Executive’s Base Salary through the effective date of termination; (ii) the right to continue health care benefits under Title X of the 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at Executive’s cost, to the extent required and available by law; (iii) reimbursement of expenses for which Executive is entitled to be reimbursed pursuant to Section 5 above, but for which Executive has not yet been reimbursed; and (iv) no other severance or benefits of any kind, unless required by law or pursuant to any other written Company plans or policies, as then in effect.</w:t>
      </w:r>
    </w:p>
    <w:p>
      <w:pPr>
        <w:spacing w:after="0" w:line="122" w:lineRule="exact"/>
        <w:rPr>
          <w:rFonts w:ascii="Times New Roman" w:cs="Times New Roman" w:eastAsia="Times New Roman" w:hAnsi="Times New Roman"/>
          <w:sz w:val="17"/>
          <w:szCs w:val="17"/>
          <w:color w:val="auto"/>
        </w:rPr>
      </w:pPr>
    </w:p>
    <w:p>
      <w:pPr>
        <w:jc w:val="both"/>
        <w:ind w:left="-180" w:firstLine="1023"/>
        <w:spacing w:after="0" w:line="228" w:lineRule="auto"/>
        <w:tabs>
          <w:tab w:leader="none" w:pos="134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that Executive, at the time notice is given, has been unable to substantially perform Executive’s duties under this Agreement for not less than one-hundred and twenty (120) work days within a twelve (12) consecutive month period as a result of Executive’s incapacity due to a physical or mental condition and, if reasonable accommodation is required by law, after any reasonable accommodation.</w:t>
      </w:r>
    </w:p>
    <w:p>
      <w:pPr>
        <w:spacing w:after="0" w:line="121" w:lineRule="exact"/>
        <w:rPr>
          <w:rFonts w:ascii="Times New Roman" w:cs="Times New Roman" w:eastAsia="Times New Roman" w:hAnsi="Times New Roman"/>
          <w:sz w:val="17"/>
          <w:szCs w:val="17"/>
          <w:color w:val="auto"/>
        </w:rPr>
      </w:pPr>
    </w:p>
    <w:p>
      <w:pPr>
        <w:ind w:left="580" w:hanging="246"/>
        <w:spacing w:after="0"/>
        <w:tabs>
          <w:tab w:leader="none" w:pos="5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Matters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left="-180" w:firstLine="1023"/>
        <w:spacing w:after="0" w:line="220" w:lineRule="auto"/>
        <w:tabs>
          <w:tab w:leader="none" w:pos="134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Proprietary Information and Inventions</w:t>
      </w:r>
      <w:r>
        <w:rPr>
          <w:rFonts w:ascii="Times New Roman" w:cs="Times New Roman" w:eastAsia="Times New Roman" w:hAnsi="Times New Roman"/>
          <w:sz w:val="17"/>
          <w:szCs w:val="17"/>
          <w:color w:val="auto"/>
        </w:rPr>
        <w:t>. In connection with Executive’s employment with the Company, Executive will receive and have access to Company confidential information and trade secrets. Accordingly, enclosed with this Agreement is a Confidentiality, Non-Solicitation, and Intellectual Property Agreement (the “</w:t>
      </w:r>
      <w:r>
        <w:rPr>
          <w:rFonts w:ascii="Times New Roman" w:cs="Times New Roman" w:eastAsia="Times New Roman" w:hAnsi="Times New Roman"/>
          <w:sz w:val="17"/>
          <w:szCs w:val="17"/>
          <w:u w:val="single" w:color="auto"/>
          <w:color w:val="auto"/>
        </w:rPr>
        <w:t>Confidential Information Agreement</w:t>
      </w:r>
      <w:r>
        <w:rPr>
          <w:rFonts w:ascii="Times New Roman" w:cs="Times New Roman" w:eastAsia="Times New Roman" w:hAnsi="Times New Roman"/>
          <w:sz w:val="17"/>
          <w:szCs w:val="17"/>
          <w:color w:val="auto"/>
        </w:rPr>
        <w:t>”) which contains restrictive covenants and prohibits unauthorized use or disclosure of the Company’s confidential information and trade secrets, among other obligations. Executive agrees to review the Confidential Information Agreement and only sign it after careful consideration.</w:t>
      </w:r>
    </w:p>
    <w:p>
      <w:pPr>
        <w:spacing w:after="0" w:line="122" w:lineRule="exact"/>
        <w:rPr>
          <w:rFonts w:ascii="Times New Roman" w:cs="Times New Roman" w:eastAsia="Times New Roman" w:hAnsi="Times New Roman"/>
          <w:sz w:val="17"/>
          <w:szCs w:val="17"/>
          <w:color w:val="auto"/>
        </w:rPr>
      </w:pPr>
    </w:p>
    <w:p>
      <w:pPr>
        <w:jc w:val="both"/>
        <w:ind w:left="-180" w:firstLine="1023"/>
        <w:spacing w:after="0" w:line="228" w:lineRule="auto"/>
        <w:tabs>
          <w:tab w:leader="none" w:pos="1344"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on Termination</w:t>
      </w:r>
      <w:r>
        <w:rPr>
          <w:rFonts w:ascii="Times New Roman" w:cs="Times New Roman" w:eastAsia="Times New Roman" w:hAnsi="Times New Roman"/>
          <w:sz w:val="17"/>
          <w:szCs w:val="17"/>
          <w:color w:val="auto"/>
        </w:rPr>
        <w:t>. On termination of Executive’s employment, regardless of the reason for such termination, Executive shall immediately (and with contemporaneous effect) resign any directorships, offices or other positions that Executive may hold in the Company or any affiliate, unless otherwise agreed in writing by the Parties.</w:t>
      </w:r>
    </w:p>
    <w:p>
      <w:pPr>
        <w:spacing w:after="0" w:line="121" w:lineRule="exact"/>
        <w:rPr>
          <w:rFonts w:ascii="Times New Roman" w:cs="Times New Roman" w:eastAsia="Times New Roman" w:hAnsi="Times New Roman"/>
          <w:sz w:val="17"/>
          <w:szCs w:val="17"/>
          <w:color w:val="auto"/>
        </w:rPr>
      </w:pPr>
    </w:p>
    <w:p>
      <w:pPr>
        <w:jc w:val="both"/>
        <w:ind w:left="-180" w:firstLine="1023"/>
        <w:spacing w:after="0" w:line="223" w:lineRule="auto"/>
        <w:tabs>
          <w:tab w:leader="none" w:pos="134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New Employer</w:t>
      </w:r>
      <w:r>
        <w:rPr>
          <w:rFonts w:ascii="Times New Roman" w:cs="Times New Roman" w:eastAsia="Times New Roman" w:hAnsi="Times New Roman"/>
          <w:sz w:val="17"/>
          <w:szCs w:val="17"/>
          <w:color w:val="auto"/>
        </w:rPr>
        <w:t>. In the event that Executive leaves the employ of the Company, Executive grants consent to notification by the Company to Executive’s new employer about Executive’s rights and obligations under this Agreement and the Confidential Information Agreement. Company agrees not to notify Executive’s new employer unless it has a reasonable belief that Executive has violated or intends to violate a provision of the Confidential Information Agreement.</w:t>
      </w:r>
    </w:p>
    <w:p>
      <w:pPr>
        <w:spacing w:after="0" w:line="122" w:lineRule="exact"/>
        <w:rPr>
          <w:rFonts w:ascii="Times New Roman" w:cs="Times New Roman" w:eastAsia="Times New Roman" w:hAnsi="Times New Roman"/>
          <w:sz w:val="17"/>
          <w:szCs w:val="17"/>
          <w:color w:val="auto"/>
        </w:rPr>
      </w:pPr>
    </w:p>
    <w:p>
      <w:pPr>
        <w:jc w:val="both"/>
        <w:ind w:left="-180" w:firstLine="514"/>
        <w:spacing w:after="0" w:line="223" w:lineRule="auto"/>
        <w:tabs>
          <w:tab w:leader="none" w:pos="83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Confidential Information Agreement, or Executive’s employment, or the termination of Executive’s employment, including but not limited to the Massachusetts Antidiscrimination Act, Mass. Gen. Laws ch.151B and the Massachusetts Wage Act, Mass. Gen. Laws ch. 149,</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100"/>
          </w:cols>
          <w:pgMar w:left="480" w:top="1349" w:right="319" w:bottom="1440" w:gutter="0" w:footer="0" w:header="0"/>
        </w:sectPr>
      </w:pPr>
    </w:p>
    <w:bookmarkStart w:id="126" w:name="page127"/>
    <w:bookmarkEnd w:id="126"/>
    <w:p>
      <w:pPr>
        <w:jc w:val="both"/>
        <w:spacing w:after="0" w:line="211" w:lineRule="auto"/>
        <w:rPr>
          <w:sz w:val="20"/>
          <w:szCs w:val="20"/>
          <w:color w:val="auto"/>
        </w:rPr>
      </w:pPr>
      <w:r>
        <w:rPr>
          <w:rFonts w:ascii="Times New Roman" w:cs="Times New Roman" w:eastAsia="Times New Roman" w:hAnsi="Times New Roman"/>
          <w:sz w:val="17"/>
          <w:szCs w:val="17"/>
          <w:color w:val="auto"/>
        </w:rPr>
        <w:t>and any other statutory claims, will be resolved pursuant to the Federal Arbitration Act, 9 U.S.C. §1-16, and to the fullest extent permitted by law, by final, binding and confidential arbitration by a single arbitrator conducted in Boston, Massachusetts by Judicial Arbitration and Mediation Services Inc. (“</w:t>
      </w:r>
      <w:r>
        <w:rPr>
          <w:rFonts w:ascii="Times New Roman" w:cs="Times New Roman" w:eastAsia="Times New Roman" w:hAnsi="Times New Roman"/>
          <w:sz w:val="17"/>
          <w:szCs w:val="17"/>
          <w:b w:val="1"/>
          <w:bCs w:val="1"/>
          <w:u w:val="single" w:color="auto"/>
          <w:color w:val="auto"/>
        </w:rPr>
        <w:t>JAMS</w:t>
      </w:r>
      <w:r>
        <w:rPr>
          <w:rFonts w:ascii="Times New Roman" w:cs="Times New Roman" w:eastAsia="Times New Roman" w:hAnsi="Times New Roman"/>
          <w:sz w:val="17"/>
          <w:szCs w:val="17"/>
          <w:color w:val="auto"/>
        </w:rPr>
        <w:t xml:space="preserve">”) under the then applicable JAMS rules (at the following web address: </w:t>
      </w:r>
      <w:r>
        <w:rPr>
          <w:rFonts w:ascii="Times New Roman" w:cs="Times New Roman" w:eastAsia="Times New Roman" w:hAnsi="Times New Roman"/>
          <w:sz w:val="17"/>
          <w:szCs w:val="17"/>
          <w:u w:val="single" w:color="auto"/>
          <w:color w:val="0563C1"/>
        </w:rPr>
        <w:t>https://www.jamsadr.com/rules-employment-arbitration/</w:t>
      </w:r>
      <w:r>
        <w:rPr>
          <w:rFonts w:ascii="Times New Roman" w:cs="Times New Roman" w:eastAsia="Times New Roman" w:hAnsi="Times New Roman"/>
          <w:sz w:val="17"/>
          <w:szCs w:val="17"/>
          <w:color w:val="auto"/>
        </w:rPr>
        <w:t xml:space="preserve">); provided, however, this arbitration provision shall not apply to sexual harassment claims to the extent prohibited by applicable law. A hard copy of the rules will be provided to Executive upon request. </w:t>
      </w:r>
      <w:r>
        <w:rPr>
          <w:rFonts w:ascii="Times New Roman" w:cs="Times New Roman" w:eastAsia="Times New Roman" w:hAnsi="Times New Roman"/>
          <w:sz w:val="17"/>
          <w:szCs w:val="17"/>
          <w:b w:val="1"/>
          <w:bCs w:val="1"/>
          <w:color w:val="auto"/>
        </w:rPr>
        <w:t>By agreeing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to this arbitration procedure, both Executive and the Company waive the right to resolve any such dispute through a trial by jury or judge or administrative proceeding</w:t>
      </w:r>
      <w:r>
        <w:rPr>
          <w:rFonts w:ascii="Times New Roman" w:cs="Times New Roman" w:eastAsia="Times New Roman" w:hAnsi="Times New Roman"/>
          <w:sz w:val="17"/>
          <w:szCs w:val="17"/>
          <w:color w:val="auto"/>
        </w:rPr>
        <w:t>. In addition, all claims, disputes, or causes of action under this Section, whether by Executive or the Company, must be brought in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Except as modified in the Confidential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claims, in the event you intend to bring multiple claims, including a sexual harassment claim, the sexual harassment may be publicly filed with a court, while any other claims will remain subject to mandatory arbitration.</w:t>
      </w:r>
    </w:p>
    <w:p>
      <w:pPr>
        <w:spacing w:after="0" w:line="128" w:lineRule="exact"/>
        <w:rPr>
          <w:sz w:val="20"/>
          <w:szCs w:val="20"/>
          <w:color w:val="auto"/>
        </w:rPr>
      </w:pPr>
    </w:p>
    <w:p>
      <w:pPr>
        <w:jc w:val="both"/>
        <w:ind w:firstLine="514"/>
        <w:spacing w:after="0" w:line="218" w:lineRule="auto"/>
        <w:tabs>
          <w:tab w:leader="none" w:pos="101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22" w:lineRule="exact"/>
        <w:rPr>
          <w:rFonts w:ascii="Times New Roman" w:cs="Times New Roman" w:eastAsia="Times New Roman" w:hAnsi="Times New Roman"/>
          <w:sz w:val="17"/>
          <w:szCs w:val="17"/>
          <w:color w:val="auto"/>
        </w:rPr>
      </w:pPr>
    </w:p>
    <w:p>
      <w:pPr>
        <w:jc w:val="both"/>
        <w:ind w:firstLine="514"/>
        <w:spacing w:after="0" w:line="218" w:lineRule="auto"/>
        <w:tabs>
          <w:tab w:leader="none" w:pos="101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demands and other communications called for under this Agreement shall be in writing and shall be delivered via e-mail, personally by hand or by courier, mailed by United States first-class mail, postage prepaid, or sent by facsimile directed to the Party to be notified at the address or facsimile number indicated for such Party on the signature page to this Agreement, or at such other address or facsimile number as such Party may designate by ten (10) days’ advance written notice to the other Parties hereto. All such notices and other communications shall be deemed given upon personal delivery, three (3) days after the date of mailing, or upon confirmation of facsimile transfer or e-mail. Notices sent via e-mail under this Section shall be sent to either the e-mail address in this Agreement, or for e-mails sent by the Company to Executive, to the last e-mail address on file with the Company.</w:t>
      </w:r>
    </w:p>
    <w:p>
      <w:pPr>
        <w:spacing w:after="0" w:line="122" w:lineRule="exact"/>
        <w:rPr>
          <w:rFonts w:ascii="Times New Roman" w:cs="Times New Roman" w:eastAsia="Times New Roman" w:hAnsi="Times New Roman"/>
          <w:sz w:val="17"/>
          <w:szCs w:val="17"/>
          <w:color w:val="auto"/>
        </w:rPr>
      </w:pPr>
    </w:p>
    <w:p>
      <w:pPr>
        <w:ind w:firstLine="514"/>
        <w:spacing w:after="0" w:line="238" w:lineRule="auto"/>
        <w:tabs>
          <w:tab w:leader="none" w:pos="10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the event that any provision hereof becomes or is declared by a court of competent jurisdiction to be illegal, unenforceable or void, this Agreement will continue in full force and effect without said provision.</w:t>
      </w: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349" w:right="319" w:bottom="1440" w:gutter="0" w:footer="0" w:header="0"/>
        </w:sectPr>
      </w:pPr>
    </w:p>
    <w:bookmarkStart w:id="127" w:name="page128"/>
    <w:bookmarkEnd w:id="127"/>
    <w:p>
      <w:pPr>
        <w:jc w:val="both"/>
        <w:ind w:firstLine="514"/>
        <w:spacing w:after="0" w:line="223" w:lineRule="auto"/>
        <w:tabs>
          <w:tab w:leader="none" w:pos="101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together with the Plan and related agreements,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spacing w:after="0" w:line="122"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All payments made pursuant to this Agreement will be subject to withholding of applicable taxes.</w:t>
      </w:r>
    </w:p>
    <w:p>
      <w:pPr>
        <w:spacing w:after="0" w:line="144" w:lineRule="exact"/>
        <w:rPr>
          <w:rFonts w:ascii="Times New Roman" w:cs="Times New Roman" w:eastAsia="Times New Roman" w:hAnsi="Times New Roman"/>
          <w:sz w:val="17"/>
          <w:szCs w:val="17"/>
          <w:color w:val="auto"/>
        </w:rPr>
      </w:pPr>
    </w:p>
    <w:p>
      <w:pPr>
        <w:jc w:val="both"/>
        <w:ind w:firstLine="514"/>
        <w:spacing w:after="0" w:line="223" w:lineRule="auto"/>
        <w:tabs>
          <w:tab w:leader="none" w:pos="101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1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will be governed by the laws of the Commonwealth of Massachusetts (with the exception of its conflict of laws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w:t>
      </w:r>
    </w:p>
    <w:p>
      <w:pPr>
        <w:spacing w:after="0" w:line="126" w:lineRule="exact"/>
        <w:rPr>
          <w:rFonts w:ascii="Times New Roman" w:cs="Times New Roman" w:eastAsia="Times New Roman" w:hAnsi="Times New Roman"/>
          <w:sz w:val="17"/>
          <w:szCs w:val="17"/>
          <w:color w:val="auto"/>
        </w:rPr>
      </w:pPr>
    </w:p>
    <w:p>
      <w:pPr>
        <w:jc w:val="both"/>
        <w:ind w:firstLine="514"/>
        <w:spacing w:after="0" w:line="228" w:lineRule="auto"/>
        <w:tabs>
          <w:tab w:leader="none" w:pos="101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w:t>
      </w:r>
      <w:r>
        <w:rPr>
          <w:rFonts w:ascii="Times New Roman" w:cs="Times New Roman" w:eastAsia="Times New Roman" w:hAnsi="Times New Roman"/>
          <w:sz w:val="17"/>
          <w:szCs w:val="17"/>
          <w:color w:val="auto"/>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spacing w:after="0" w:line="121" w:lineRule="exact"/>
        <w:rPr>
          <w:rFonts w:ascii="Times New Roman" w:cs="Times New Roman" w:eastAsia="Times New Roman" w:hAnsi="Times New Roman"/>
          <w:sz w:val="17"/>
          <w:szCs w:val="17"/>
          <w:color w:val="auto"/>
        </w:rPr>
      </w:pPr>
    </w:p>
    <w:p>
      <w:pPr>
        <w:ind w:firstLine="514"/>
        <w:spacing w:after="0" w:line="238" w:lineRule="auto"/>
        <w:tabs>
          <w:tab w:leader="none" w:pos="101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multiple counterparts, each of which shall be deemed to be an original, and all such counterparts shall constitute but one instrument.</w:t>
      </w:r>
    </w:p>
    <w:p>
      <w:pPr>
        <w:spacing w:after="0" w:line="121"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Headings</w:t>
      </w:r>
      <w:r>
        <w:rPr>
          <w:rFonts w:ascii="Times New Roman" w:cs="Times New Roman" w:eastAsia="Times New Roman" w:hAnsi="Times New Roman"/>
          <w:sz w:val="17"/>
          <w:szCs w:val="17"/>
          <w:color w:val="auto"/>
        </w:rPr>
        <w:t>. The section and subsection headings contained herein are for convenience only and shall not affect the construction hereof.</w:t>
      </w:r>
    </w:p>
    <w:p>
      <w:pPr>
        <w:spacing w:after="0" w:line="14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Construction of Agreement</w:t>
      </w:r>
      <w:r>
        <w:rPr>
          <w:rFonts w:ascii="Times New Roman" w:cs="Times New Roman" w:eastAsia="Times New Roman" w:hAnsi="Times New Roman"/>
          <w:sz w:val="16"/>
          <w:szCs w:val="16"/>
          <w:color w:val="auto"/>
        </w:rPr>
        <w:t>. This Agreement has been negotiated by the respective Parties, and the language shall not be construed for or against either</w:t>
      </w:r>
    </w:p>
    <w:p>
      <w:pPr>
        <w:spacing w:after="0" w:line="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Party.</w:t>
      </w:r>
    </w:p>
    <w:p>
      <w:pPr>
        <w:spacing w:after="0" w:line="12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5"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17"/>
          <w:szCs w:val="17"/>
          <w:u w:val="single" w:color="auto"/>
          <w:color w:val="auto"/>
        </w:rPr>
        <w:t>Deferred Compensation Separation Benefits</w:t>
      </w:r>
      <w:r>
        <w:rPr>
          <w:rFonts w:ascii="Times New Roman" w:cs="Times New Roman" w:eastAsia="Times New Roman" w:hAnsi="Times New Roman"/>
          <w:sz w:val="17"/>
          <w:szCs w:val="17"/>
          <w:color w:val="auto"/>
        </w:rPr>
        <w:t>”) will be paid or otherwise provided until Executive has a “separation from service” within the meaning of Section 409A.</w:t>
      </w:r>
    </w:p>
    <w:p>
      <w:pPr>
        <w:spacing w:after="0" w:line="122" w:lineRule="exact"/>
        <w:rPr>
          <w:rFonts w:ascii="Times New Roman" w:cs="Times New Roman" w:eastAsia="Times New Roman" w:hAnsi="Times New Roman"/>
          <w:sz w:val="17"/>
          <w:szCs w:val="17"/>
          <w:color w:val="auto"/>
        </w:rPr>
      </w:pPr>
    </w:p>
    <w:p>
      <w:pPr>
        <w:jc w:val="both"/>
        <w:ind w:firstLine="1023"/>
        <w:spacing w:after="0" w:line="215" w:lineRule="auto"/>
        <w:tabs>
          <w:tab w:leader="none" w:pos="152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349" w:right="319" w:bottom="1440" w:gutter="0" w:footer="0" w:header="0"/>
        </w:sectPr>
      </w:pPr>
    </w:p>
    <w:bookmarkStart w:id="128" w:name="page129"/>
    <w:bookmarkEnd w:id="128"/>
    <w:p>
      <w:pPr>
        <w:ind w:firstLine="1023"/>
        <w:spacing w:after="0" w:line="238" w:lineRule="auto"/>
        <w:tabs>
          <w:tab w:leader="none" w:pos="152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paid under this Agreement that satisfies the requirements of the “short-term deferral” rule set forth in Section 1.409A-1(b)(4) of the Treasury Regulations will not constitute Deferred Compensation Separation Benefits for purposes of clause (a) above.</w:t>
      </w:r>
    </w:p>
    <w:p>
      <w:pPr>
        <w:spacing w:after="0" w:line="121" w:lineRule="exact"/>
        <w:rPr>
          <w:rFonts w:ascii="Times New Roman" w:cs="Times New Roman" w:eastAsia="Times New Roman" w:hAnsi="Times New Roman"/>
          <w:sz w:val="17"/>
          <w:szCs w:val="17"/>
          <w:color w:val="auto"/>
        </w:rPr>
      </w:pPr>
    </w:p>
    <w:p>
      <w:pPr>
        <w:jc w:val="both"/>
        <w:ind w:firstLine="1023"/>
        <w:spacing w:after="0" w:line="217" w:lineRule="auto"/>
        <w:tabs>
          <w:tab w:leader="none" w:pos="152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w:t>
      </w:r>
      <w:r>
        <w:rPr>
          <w:rFonts w:ascii="Times New Roman" w:cs="Times New Roman" w:eastAsia="Times New Roman" w:hAnsi="Times New Roman"/>
          <w:sz w:val="17"/>
          <w:szCs w:val="17"/>
          <w:u w:val="single" w:color="auto"/>
          <w:color w:val="auto"/>
        </w:rPr>
        <w:t>Section 409A Limit</w:t>
      </w:r>
      <w:r>
        <w:rPr>
          <w:rFonts w:ascii="Times New Roman" w:cs="Times New Roman" w:eastAsia="Times New Roman" w:hAnsi="Times New Roman"/>
          <w:sz w:val="17"/>
          <w:szCs w:val="17"/>
          <w:color w:val="auto"/>
        </w:rPr>
        <w:t>” will mean the lesser of two (2) times: (i) Executive’s annualized compensation based upon the annual rate of pay paid to Executive during the Executive’s taxable year preceding Executive’s taxable year of Executive’s termination of employment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employment is terminated.</w:t>
      </w:r>
    </w:p>
    <w:p>
      <w:pPr>
        <w:spacing w:after="0" w:line="121" w:lineRule="exact"/>
        <w:rPr>
          <w:sz w:val="20"/>
          <w:szCs w:val="20"/>
          <w:color w:val="auto"/>
        </w:rPr>
      </w:pPr>
    </w:p>
    <w:p>
      <w:pPr>
        <w:ind w:right="180" w:firstLine="509"/>
        <w:spacing w:after="0" w:line="223" w:lineRule="auto"/>
        <w:rPr>
          <w:sz w:val="20"/>
          <w:szCs w:val="20"/>
          <w:color w:val="auto"/>
        </w:rPr>
      </w:pPr>
      <w:r>
        <w:rPr>
          <w:rFonts w:ascii="Times New Roman" w:cs="Times New Roman" w:eastAsia="Times New Roman" w:hAnsi="Times New Roman"/>
          <w:sz w:val="17"/>
          <w:szCs w:val="17"/>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349"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each of the Parties has executed this Agreement as of the day and year first above written.</w:t>
      </w:r>
    </w:p>
    <w:p>
      <w:pPr>
        <w:spacing w:after="0" w:line="200" w:lineRule="exact"/>
        <w:rPr>
          <w:sz w:val="20"/>
          <w:szCs w:val="20"/>
          <w:color w:val="auto"/>
        </w:rPr>
      </w:pPr>
    </w:p>
    <w:p>
      <w:pPr>
        <w:spacing w:after="0" w:line="31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1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X4 PHARMACEUTICALS, INC.</w:t>
      </w:r>
    </w:p>
    <w:p>
      <w:pPr>
        <w:spacing w:after="0" w:line="14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By:/s/ Paula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-9525</wp:posOffset>
            </wp:positionV>
            <wp:extent cx="77851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4">
                      <a:extLst>
                        <a:ext uri="{28A0092B-C50C-407E-A947-70E740481C1C}"/>
                      </a:extLst>
                    </a:blip>
                    <a:srcRect/>
                    <a:stretch>
                      <a:fillRect/>
                    </a:stretch>
                  </pic:blipFill>
                  <pic:spPr bwMode="auto">
                    <a:xfrm>
                      <a:off x="0" y="0"/>
                      <a:ext cx="778510" cy="6985"/>
                    </a:xfrm>
                    <a:prstGeom prst="rect">
                      <a:avLst/>
                    </a:prstGeom>
                    <a:noFill/>
                  </pic:spPr>
                </pic:pic>
              </a:graphicData>
            </a:graphic>
          </wp:anchor>
        </w:drawing>
      </w:r>
    </w:p>
    <w:p>
      <w:pPr>
        <w:spacing w:after="0" w:line="12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Paula Ragan, PhD, CEO</w:t>
      </w:r>
    </w:p>
    <w:p>
      <w:pPr>
        <w:spacing w:after="0" w:line="1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u w:val="single" w:color="auto"/>
          <w:color w:val="auto"/>
        </w:rPr>
        <w:t>Address</w:t>
      </w:r>
      <w:r>
        <w:rPr>
          <w:rFonts w:ascii="Times New Roman" w:cs="Times New Roman" w:eastAsia="Times New Roman" w:hAnsi="Times New Roman"/>
          <w:sz w:val="17"/>
          <w:szCs w:val="17"/>
          <w:color w:val="auto"/>
        </w:rPr>
        <w:t>:</w:t>
      </w:r>
    </w:p>
    <w:p>
      <w:pPr>
        <w:ind w:left="3740"/>
        <w:spacing w:after="0" w:line="195" w:lineRule="auto"/>
        <w:rPr>
          <w:sz w:val="20"/>
          <w:szCs w:val="20"/>
          <w:color w:val="auto"/>
        </w:rPr>
      </w:pPr>
      <w:r>
        <w:rPr>
          <w:rFonts w:ascii="Times New Roman" w:cs="Times New Roman" w:eastAsia="Times New Roman" w:hAnsi="Times New Roman"/>
          <w:sz w:val="17"/>
          <w:szCs w:val="17"/>
          <w:color w:val="auto"/>
        </w:rPr>
        <w:t>X4 Pharmaceuticals, Inc</w:t>
      </w:r>
    </w:p>
    <w:p>
      <w:pPr>
        <w:ind w:left="3740"/>
        <w:spacing w:after="0" w:line="188" w:lineRule="auto"/>
        <w:rPr>
          <w:sz w:val="20"/>
          <w:szCs w:val="20"/>
          <w:color w:val="auto"/>
        </w:rPr>
      </w:pPr>
      <w:r>
        <w:rPr>
          <w:rFonts w:ascii="Times New Roman" w:cs="Times New Roman" w:eastAsia="Times New Roman" w:hAnsi="Times New Roman"/>
          <w:sz w:val="16"/>
          <w:szCs w:val="16"/>
          <w:color w:val="auto"/>
        </w:rPr>
        <w:t>61 North Beacon Street, 4</w:t>
      </w:r>
      <w:r>
        <w:rPr>
          <w:rFonts w:ascii="Times New Roman" w:cs="Times New Roman" w:eastAsia="Times New Roman" w:hAnsi="Times New Roman"/>
          <w:sz w:val="20"/>
          <w:szCs w:val="20"/>
          <w:u w:val="single" w:color="auto"/>
          <w:color w:val="auto"/>
          <w:vertAlign w:val="superscript"/>
        </w:rPr>
        <w:t>th</w:t>
      </w:r>
      <w:r>
        <w:rPr>
          <w:rFonts w:ascii="Times New Roman" w:cs="Times New Roman" w:eastAsia="Times New Roman" w:hAnsi="Times New Roman"/>
          <w:sz w:val="16"/>
          <w:szCs w:val="16"/>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-111760</wp:posOffset>
            </wp:positionV>
            <wp:extent cx="127190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1271905" cy="698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-3810</wp:posOffset>
            </wp:positionV>
            <wp:extent cx="165290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6">
                      <a:extLst>
                        <a:ext uri="{28A0092B-C50C-407E-A947-70E740481C1C}"/>
                      </a:extLst>
                    </a:blip>
                    <a:srcRect/>
                    <a:stretch>
                      <a:fillRect/>
                    </a:stretch>
                  </pic:blipFill>
                  <pic:spPr bwMode="auto">
                    <a:xfrm>
                      <a:off x="0" y="0"/>
                      <a:ext cx="1652905" cy="6985"/>
                    </a:xfrm>
                    <a:prstGeom prst="rect">
                      <a:avLst/>
                    </a:prstGeom>
                    <a:noFill/>
                  </pic:spPr>
                </pic:pic>
              </a:graphicData>
            </a:graphic>
          </wp:anchor>
        </w:drawing>
      </w:r>
    </w:p>
    <w:p>
      <w:pPr>
        <w:ind w:left="3740"/>
        <w:spacing w:after="0" w:line="209" w:lineRule="auto"/>
        <w:rPr>
          <w:sz w:val="20"/>
          <w:szCs w:val="20"/>
          <w:color w:val="auto"/>
        </w:rPr>
      </w:pPr>
      <w:r>
        <w:rPr>
          <w:rFonts w:ascii="Times New Roman" w:cs="Times New Roman" w:eastAsia="Times New Roman" w:hAnsi="Times New Roman"/>
          <w:sz w:val="17"/>
          <w:szCs w:val="17"/>
          <w:color w:val="auto"/>
        </w:rPr>
        <w:t>Boston, MA 02134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-4445</wp:posOffset>
            </wp:positionV>
            <wp:extent cx="10452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7">
                      <a:extLst>
                        <a:ext uri="{28A0092B-C50C-407E-A947-70E740481C1C}"/>
                      </a:extLst>
                    </a:blip>
                    <a:srcRect/>
                    <a:stretch>
                      <a:fillRect/>
                    </a:stretch>
                  </pic:blipFill>
                  <pic:spPr bwMode="auto">
                    <a:xfrm>
                      <a:off x="0" y="0"/>
                      <a:ext cx="1045210" cy="6985"/>
                    </a:xfrm>
                    <a:prstGeom prst="rect">
                      <a:avLst/>
                    </a:prstGeom>
                    <a:noFill/>
                  </pic:spPr>
                </pic:pic>
              </a:graphicData>
            </a:graphic>
          </wp:anchor>
        </w:drawing>
      </w:r>
    </w:p>
    <w:p>
      <w:pPr>
        <w:ind w:left="3560"/>
        <w:spacing w:after="0" w:line="208" w:lineRule="auto"/>
        <w:rPr>
          <w:sz w:val="20"/>
          <w:szCs w:val="20"/>
          <w:color w:val="auto"/>
        </w:rPr>
      </w:pPr>
      <w:r>
        <w:rPr>
          <w:rFonts w:ascii="Times New Roman" w:cs="Times New Roman" w:eastAsia="Times New Roman" w:hAnsi="Times New Roman"/>
          <w:sz w:val="17"/>
          <w:szCs w:val="17"/>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-3810</wp:posOffset>
            </wp:positionV>
            <wp:extent cx="10795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8">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356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-20955</wp:posOffset>
            </wp:positionV>
            <wp:extent cx="10795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9">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1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MURRAY STEWART</w:t>
      </w:r>
    </w:p>
    <w:p>
      <w:pPr>
        <w:spacing w:after="0" w:line="14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/s/ Murray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-4445</wp:posOffset>
            </wp:positionV>
            <wp:extent cx="91630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0">
                      <a:extLst>
                        <a:ext uri="{28A0092B-C50C-407E-A947-70E740481C1C}"/>
                      </a:extLst>
                    </a:blip>
                    <a:srcRect/>
                    <a:stretch>
                      <a:fillRect/>
                    </a:stretch>
                  </pic:blipFill>
                  <pic:spPr bwMode="auto">
                    <a:xfrm>
                      <a:off x="0" y="0"/>
                      <a:ext cx="916305" cy="6985"/>
                    </a:xfrm>
                    <a:prstGeom prst="rect">
                      <a:avLst/>
                    </a:prstGeom>
                    <a:noFill/>
                  </pic:spPr>
                </pic:pic>
              </a:graphicData>
            </a:graphic>
          </wp:anchor>
        </w:drawing>
      </w:r>
    </w:p>
    <w:p>
      <w:pPr>
        <w:ind w:left="3560"/>
        <w:spacing w:after="0"/>
        <w:rPr>
          <w:sz w:val="20"/>
          <w:szCs w:val="20"/>
          <w:color w:val="auto"/>
        </w:rPr>
      </w:pPr>
      <w:r>
        <w:rPr>
          <w:rFonts w:ascii="Times New Roman" w:cs="Times New Roman" w:eastAsia="Times New Roman" w:hAnsi="Times New Roman"/>
          <w:sz w:val="17"/>
          <w:szCs w:val="17"/>
          <w:color w:val="auto"/>
        </w:rPr>
        <w:t>Executive Name</w:t>
      </w:r>
    </w:p>
    <w:p>
      <w:pPr>
        <w:spacing w:after="0" w:line="1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u w:val="single" w:color="auto"/>
          <w:color w:val="auto"/>
        </w:rPr>
        <w:t>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97790</wp:posOffset>
            </wp:positionV>
            <wp:extent cx="21590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1">
                      <a:extLst>
                        <a:ext uri="{28A0092B-C50C-407E-A947-70E740481C1C}"/>
                      </a:extLst>
                    </a:blip>
                    <a:srcRect/>
                    <a:stretch>
                      <a:fillRect/>
                    </a:stretch>
                  </pic:blipFill>
                  <pic:spPr bwMode="auto">
                    <a:xfrm>
                      <a:off x="0" y="0"/>
                      <a:ext cx="215900" cy="698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205740</wp:posOffset>
            </wp:positionV>
            <wp:extent cx="21590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2">
                      <a:extLst>
                        <a:ext uri="{28A0092B-C50C-407E-A947-70E740481C1C}"/>
                      </a:extLst>
                    </a:blip>
                    <a:srcRect/>
                    <a:stretch>
                      <a:fillRect/>
                    </a:stretch>
                  </pic:blipFill>
                  <pic:spPr bwMode="auto">
                    <a:xfrm>
                      <a:off x="0" y="0"/>
                      <a:ext cx="215900"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-116840</wp:posOffset>
            </wp:positionV>
            <wp:extent cx="21590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3">
                      <a:extLst>
                        <a:ext uri="{28A0092B-C50C-407E-A947-70E740481C1C}"/>
                      </a:extLst>
                    </a:blip>
                    <a:srcRect/>
                    <a:stretch>
                      <a:fillRect/>
                    </a:stretch>
                  </pic:blipFill>
                  <pic:spPr bwMode="auto">
                    <a:xfrm>
                      <a:off x="0" y="0"/>
                      <a:ext cx="215900" cy="698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-9525</wp:posOffset>
            </wp:positionV>
            <wp:extent cx="10795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4">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Enclosure</w:t>
      </w:r>
    </w:p>
    <w:p>
      <w:pPr>
        <w:spacing w:after="0"/>
        <w:rPr>
          <w:sz w:val="20"/>
          <w:szCs w:val="20"/>
          <w:color w:val="auto"/>
        </w:rPr>
      </w:pPr>
      <w:r>
        <w:rPr>
          <w:rFonts w:ascii="Times New Roman" w:cs="Times New Roman" w:eastAsia="Times New Roman" w:hAnsi="Times New Roman"/>
          <w:sz w:val="17"/>
          <w:szCs w:val="17"/>
          <w:color w:val="auto"/>
        </w:rPr>
        <w:t>Confidentiality, Non-Solicitation, and Intellectual Property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X4 PHARMACEUTICALS, INC.</w:t>
      </w:r>
    </w:p>
    <w:p>
      <w:pPr>
        <w:jc w:val="center"/>
        <w:ind w:right="-1140"/>
        <w:spacing w:after="0" w:line="208" w:lineRule="auto"/>
        <w:rPr>
          <w:sz w:val="20"/>
          <w:szCs w:val="20"/>
          <w:color w:val="auto"/>
        </w:rPr>
      </w:pPr>
      <w:r>
        <w:rPr>
          <w:rFonts w:ascii="Times New Roman" w:cs="Times New Roman" w:eastAsia="Times New Roman" w:hAnsi="Times New Roman"/>
          <w:sz w:val="17"/>
          <w:szCs w:val="17"/>
          <w:b w:val="1"/>
          <w:bCs w:val="1"/>
          <w:color w:val="auto"/>
        </w:rPr>
        <w:t>EXECUTIVE EMPLOYMENT AGREEMENT</w:t>
      </w: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SIGNATURE PAGE</w:t>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159"/>
          </w:cols>
          <w:pgMar w:left="300" w:top="1176" w:right="1440" w:bottom="1440"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308" w:lineRule="exact"/>
        <w:rPr>
          <w:sz w:val="20"/>
          <w:szCs w:val="20"/>
          <w:color w:val="auto"/>
        </w:rPr>
      </w:pPr>
    </w:p>
    <w:p>
      <w:pPr>
        <w:spacing w:after="0"/>
        <w:rPr>
          <w:sz w:val="20"/>
          <w:szCs w:val="20"/>
          <w:color w:val="auto"/>
        </w:rPr>
      </w:pPr>
      <w:r>
        <w:rPr>
          <w:rFonts w:ascii="Georgia" w:cs="Georgia" w:eastAsia="Georgia" w:hAnsi="Georgia"/>
          <w:sz w:val="14"/>
          <w:szCs w:val="14"/>
          <w:color w:val="auto"/>
        </w:rPr>
        <w:t>We hereby consent to the incorporation by reference in the Registration Statements on Form S-3 (Nos. 333-229377, 333-233161, 333-242372, 333-249544, 333-257422, 333-</w:t>
      </w:r>
    </w:p>
    <w:p>
      <w:pPr>
        <w:ind w:right="240"/>
        <w:spacing w:after="0" w:line="224" w:lineRule="auto"/>
        <w:rPr>
          <w:sz w:val="20"/>
          <w:szCs w:val="20"/>
          <w:color w:val="auto"/>
        </w:rPr>
      </w:pPr>
      <w:r>
        <w:rPr>
          <w:rFonts w:ascii="Georgia" w:cs="Georgia" w:eastAsia="Georgia" w:hAnsi="Georgia"/>
          <w:sz w:val="14"/>
          <w:szCs w:val="14"/>
          <w:color w:val="auto"/>
        </w:rPr>
        <w:t>261871, 333-264459 and 333-266410) and Form S-8 (Nos. 333-221622, 333-223539, 333-230181, 333-230499, 333-233162, 333-237164, 333-239082, 333-254618, 333-263430 and 333-269335) of X4 Pharmaceuticals, Inc. of our report dated March 21, 2023 relating to the financial statements, which appears in this Form 10-K.</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line="208" w:lineRule="auto"/>
        <w:rPr>
          <w:sz w:val="20"/>
          <w:szCs w:val="20"/>
          <w:color w:val="auto"/>
        </w:rPr>
      </w:pPr>
      <w:r>
        <w:rPr>
          <w:rFonts w:ascii="Georgia" w:cs="Georgia" w:eastAsia="Georgia" w:hAnsi="Georgia"/>
          <w:sz w:val="14"/>
          <w:szCs w:val="14"/>
          <w:color w:val="auto"/>
        </w:rPr>
        <w:t>Boston, Massachusetts</w:t>
      </w:r>
    </w:p>
    <w:p>
      <w:pPr>
        <w:spacing w:after="0"/>
        <w:rPr>
          <w:sz w:val="20"/>
          <w:szCs w:val="20"/>
          <w:color w:val="auto"/>
        </w:rPr>
      </w:pPr>
      <w:r>
        <w:rPr>
          <w:rFonts w:ascii="Georgia" w:cs="Georgia" w:eastAsia="Georgia" w:hAnsi="Georgia"/>
          <w:sz w:val="14"/>
          <w:szCs w:val="14"/>
          <w:color w:val="auto"/>
        </w:rPr>
        <w:t>March 21, 2023</w:t>
      </w:r>
    </w:p>
    <w:p>
      <w:pPr>
        <w:sectPr>
          <w:pgSz w:w="11900" w:h="16838" w:orient="portrait"/>
          <w:cols w:equalWidth="0" w:num="1">
            <w:col w:w="11280"/>
          </w:cols>
          <w:pgMar w:left="300" w:top="129" w:right="3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Paula Ragan, Ph.D., certify that:</w:t>
      </w:r>
    </w:p>
    <w:p>
      <w:pPr>
        <w:spacing w:after="0" w:line="179" w:lineRule="exact"/>
        <w:rPr>
          <w:sz w:val="20"/>
          <w:szCs w:val="20"/>
          <w:color w:val="auto"/>
        </w:rPr>
      </w:pPr>
    </w:p>
    <w:p>
      <w:pPr>
        <w:ind w:left="520" w:hanging="260"/>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X4 Pharmaceuticals, Inc.;</w:t>
      </w:r>
    </w:p>
    <w:p>
      <w:pPr>
        <w:spacing w:after="0" w:line="178"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right="160" w:hanging="251"/>
        <w:spacing w:after="0" w:line="287" w:lineRule="auto"/>
        <w:tabs>
          <w:tab w:leader="none" w:pos="102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21, 2023</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Paula Ragan,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486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Paula Ragan, Ph.D.</w:t>
      </w:r>
    </w:p>
    <w:p>
      <w:pPr>
        <w:ind w:left="20"/>
        <w:spacing w:after="0" w:line="221" w:lineRule="auto"/>
        <w:rPr>
          <w:sz w:val="20"/>
          <w:szCs w:val="20"/>
          <w:color w:val="auto"/>
        </w:rPr>
      </w:pPr>
      <w:r>
        <w:rPr>
          <w:rFonts w:ascii="Times New Roman" w:cs="Times New Roman" w:eastAsia="Times New Roman" w:hAnsi="Times New Roman"/>
          <w:sz w:val="14"/>
          <w:szCs w:val="14"/>
          <w:color w:val="auto"/>
        </w:rPr>
        <w:t>President and Chief Executive Officer</w:t>
      </w: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Adam S. Mostafa, certify that:</w:t>
      </w:r>
    </w:p>
    <w:p>
      <w:pPr>
        <w:spacing w:after="0" w:line="179" w:lineRule="exact"/>
        <w:rPr>
          <w:sz w:val="20"/>
          <w:szCs w:val="20"/>
          <w:color w:val="auto"/>
        </w:rPr>
      </w:pPr>
    </w:p>
    <w:p>
      <w:pPr>
        <w:ind w:left="520" w:hanging="260"/>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X4 Pharmaceuticals, Inc.;</w:t>
      </w:r>
    </w:p>
    <w:p>
      <w:pPr>
        <w:spacing w:after="0" w:line="178"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right="160" w:hanging="251"/>
        <w:spacing w:after="0" w:line="287" w:lineRule="auto"/>
        <w:tabs>
          <w:tab w:leader="none" w:pos="102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21, 2023</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Adam S. Mostafa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486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Adam S. Mostafa</w:t>
      </w:r>
    </w:p>
    <w:p>
      <w:pPr>
        <w:ind w:left="20"/>
        <w:spacing w:after="0" w:line="221" w:lineRule="auto"/>
        <w:rPr>
          <w:sz w:val="20"/>
          <w:szCs w:val="20"/>
          <w:color w:val="auto"/>
        </w:rPr>
      </w:pPr>
      <w:r>
        <w:rPr>
          <w:rFonts w:ascii="Times New Roman" w:cs="Times New Roman" w:eastAsia="Times New Roman" w:hAnsi="Times New Roman"/>
          <w:sz w:val="14"/>
          <w:szCs w:val="14"/>
          <w:color w:val="auto"/>
        </w:rPr>
        <w:t>Chief Financial Officer and Treasurer</w:t>
      </w:r>
    </w:p>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727" w:right="3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6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Paula Ragan, Ph.D., Chief Executive Officer of X4 Pharmaceuticals, Inc. (the “Company”), and Adam S. Mostafa, Chief Financial Officer of the Company, each hereby certifies that, to the best of his or her knowledge:</w:t>
      </w:r>
    </w:p>
    <w:p>
      <w:pPr>
        <w:spacing w:after="0" w:line="241" w:lineRule="exact"/>
        <w:rPr>
          <w:sz w:val="20"/>
          <w:szCs w:val="20"/>
          <w:color w:val="auto"/>
        </w:rPr>
      </w:pPr>
    </w:p>
    <w:p>
      <w:pPr>
        <w:ind w:left="520" w:hanging="515"/>
        <w:spacing w:after="0" w:line="239" w:lineRule="auto"/>
        <w:tabs>
          <w:tab w:leader="none" w:pos="52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Annual Report on Form 10-K for the fiscal year ended December 31, 2022, to which this Certification is attached as Exhibit 32.1 (the “Annual Report”), fully complies with the requirements of Section 13(a) or Section 15(d) of the Exchange Act; and</w:t>
      </w:r>
    </w:p>
    <w:p>
      <w:pPr>
        <w:spacing w:after="0" w:line="188" w:lineRule="exact"/>
        <w:rPr>
          <w:rFonts w:ascii="Times New Roman" w:cs="Times New Roman" w:eastAsia="Times New Roman" w:hAnsi="Times New Roman"/>
          <w:sz w:val="14"/>
          <w:szCs w:val="14"/>
          <w:b w:val="1"/>
          <w:bCs w:val="1"/>
          <w:color w:val="auto"/>
        </w:rPr>
      </w:pPr>
    </w:p>
    <w:p>
      <w:pPr>
        <w:ind w:left="520" w:hanging="515"/>
        <w:spacing w:after="0"/>
        <w:tabs>
          <w:tab w:leader="none" w:pos="52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information contained in the Annual Report fairly presents, in all material respects, the financial condition and results of operations of the Company.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have set their hands hereto as of the 21st day of March,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Paula Ragan, Ph.D.</w:t>
            </w:r>
          </w:p>
        </w:tc>
        <w:tc>
          <w:tcPr>
            <w:tcW w:w="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Adam S. Mostafa</w:t>
            </w:r>
          </w:p>
        </w:tc>
        <w:tc>
          <w:tcPr>
            <w:tcW w:w="2840" w:type="dxa"/>
            <w:vAlign w:val="bottom"/>
          </w:tcPr>
          <w:p>
            <w:pPr>
              <w:spacing w:after="0"/>
              <w:rPr>
                <w:sz w:val="13"/>
                <w:szCs w:val="13"/>
                <w:color w:val="auto"/>
              </w:rPr>
            </w:pPr>
          </w:p>
        </w:tc>
      </w:tr>
      <w:tr>
        <w:trPr>
          <w:trHeight w:val="192"/>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Paula Ragan, Ph.D.</w:t>
            </w:r>
          </w:p>
        </w:tc>
        <w:tc>
          <w:tcPr>
            <w:tcW w:w="43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Adam S. Mostafa</w:t>
            </w:r>
          </w:p>
        </w:tc>
      </w:tr>
      <w:tr>
        <w:trPr>
          <w:trHeight w:val="185"/>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80"/>
      </w:cols>
      <w:pgMar w:left="300" w:top="117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lvl w:ilvl="1">
      <w:lvlJc w:val="left"/>
      <w:lvlText w:val="◦"/>
      <w:numFmt w:val="bullet"/>
      <w:start w:val="1"/>
    </w:lvl>
  </w:abstractNum>
  <w:abstractNum w:abstractNumId="14">
    <w:nsid w:val="7A6D8D3C"/>
    <w:multiLevelType w:val="hybridMultilevel"/>
    <w:lvl w:ilvl="0">
      <w:lvlJc w:val="left"/>
      <w:lvlText w:val="•"/>
      <w:numFmt w:val="bullet"/>
      <w:start w:val="1"/>
    </w:lvl>
    <w:lvl w:ilvl="1">
      <w:lvlJc w:val="left"/>
      <w:lvlText w:val="◦"/>
      <w:numFmt w:val="bullet"/>
      <w:start w:val="1"/>
    </w:lvl>
  </w:abstractNum>
  <w:abstractNum w:abstractNumId="15">
    <w:nsid w:val="4B588F54"/>
    <w:multiLevelType w:val="hybridMultilevel"/>
    <w:lvl w:ilvl="0">
      <w:lvlJc w:val="left"/>
      <w:lvlText w:val="(%1)"/>
      <w:numFmt w:val="lowerRoman"/>
      <w:start w:val="1"/>
    </w:lvl>
  </w:abstractNum>
  <w:abstractNum w:abstractNumId="16">
    <w:nsid w:val="542289EC"/>
    <w:multiLevelType w:val="hybridMultilevel"/>
    <w:lvl w:ilvl="0">
      <w:lvlJc w:val="left"/>
      <w:lvlText w:val="(%1)"/>
      <w:numFmt w:val="lowerRoman"/>
      <w:start w:val="1"/>
    </w:lvl>
  </w:abstractNum>
  <w:abstractNum w:abstractNumId="17">
    <w:nsid w:val="6DE91B18"/>
    <w:multiLevelType w:val="hybridMultilevel"/>
    <w:lvl w:ilvl="0">
      <w:lvlJc w:val="left"/>
      <w:lvlText w:val="(%1)"/>
      <w:numFmt w:val="lowerRoman"/>
      <w:start w:val="4"/>
    </w:lvl>
  </w:abstractNum>
  <w:abstractNum w:abstractNumId="18">
    <w:nsid w:val="38437FDB"/>
    <w:multiLevelType w:val="hybridMultilevel"/>
    <w:lvl w:ilvl="0">
      <w:lvlJc w:val="left"/>
      <w:lvlText w:val="(%1)"/>
      <w:numFmt w:val="lowerRoman"/>
      <w:start w:val="4"/>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lowerRoman"/>
      <w:start w:val="1"/>
    </w:lvl>
  </w:abstractNum>
  <w:abstractNum w:abstractNumId="60">
    <w:nsid w:val="100F8FCA"/>
    <w:multiLevelType w:val="hybridMultilevel"/>
    <w:lvl w:ilvl="0">
      <w:lvlJc w:val="left"/>
      <w:lvlText w:val="(%1)"/>
      <w:numFmt w:val="decimal"/>
      <w:start w:val="30"/>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decimal"/>
      <w:start w:val="16"/>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decimal"/>
      <w:start w:val="1"/>
    </w:lvl>
    <w:lvl w:ilvl="1">
      <w:lvlJc w:val="left"/>
      <w:lvlText w:val="(%2)"/>
      <w:numFmt w:val="lowerLetter"/>
      <w:start w:val="1"/>
    </w:lvl>
  </w:abstractNum>
  <w:abstractNum w:abstractNumId="67">
    <w:nsid w:val="42C296B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8">
    <w:nsid w:val="168E121F"/>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69">
    <w:nsid w:val="1EBA5D23"/>
    <w:multiLevelType w:val="hybridMultilevel"/>
    <w:lvl w:ilvl="0">
      <w:lvlJc w:val="left"/>
      <w:lvlText w:val="%1."/>
      <w:numFmt w:val="decimal"/>
      <w:start w:val="6"/>
    </w:lvl>
    <w:lvl w:ilvl="1">
      <w:lvlJc w:val="left"/>
      <w:lvlText w:val="(%2)"/>
      <w:numFmt w:val="lowerLetter"/>
      <w:start w:val="1"/>
    </w:lvl>
  </w:abstractNum>
  <w:abstractNum w:abstractNumId="70">
    <w:nsid w:val="661E3F1E"/>
    <w:multiLevelType w:val="hybridMultilevel"/>
    <w:lvl w:ilvl="0">
      <w:lvlJc w:val="left"/>
      <w:lvlText w:val="%1."/>
      <w:numFmt w:val="decimal"/>
      <w:start w:val="9"/>
    </w:lvl>
  </w:abstractNum>
  <w:abstractNum w:abstractNumId="71">
    <w:nsid w:val="5DC79EA8"/>
    <w:multiLevelType w:val="hybridMultilevel"/>
    <w:lvl w:ilvl="0">
      <w:lvlJc w:val="left"/>
      <w:lvlText w:val="%1."/>
      <w:numFmt w:val="decimal"/>
      <w:start w:val="12"/>
    </w:lvl>
    <w:lvl w:ilvl="1">
      <w:lvlJc w:val="left"/>
      <w:lvlText w:val="(%2)"/>
      <w:numFmt w:val="lowerLetter"/>
      <w:start w:val="1"/>
    </w:lvl>
  </w:abstractNum>
  <w:abstractNum w:abstractNumId="72">
    <w:nsid w:val="540A471C"/>
    <w:multiLevelType w:val="hybridMultilevel"/>
    <w:lvl w:ilvl="0">
      <w:lvlJc w:val="left"/>
      <w:lvlText w:val="(%1)"/>
      <w:numFmt w:val="lowerLetter"/>
      <w:start w:val="3"/>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45" Type="http://schemas.openxmlformats.org/officeDocument/2006/relationships/image" Target="media/image98.png"/><Relationship Id="rId163" Type="http://schemas.openxmlformats.org/officeDocument/2006/relationships/image" Target="media/image99.png"/><Relationship Id="rId170" Type="http://schemas.openxmlformats.org/officeDocument/2006/relationships/image" Target="media/image100.png"/><Relationship Id="rId171" Type="http://schemas.openxmlformats.org/officeDocument/2006/relationships/image" Target="media/image101.png"/><Relationship Id="rId172" Type="http://schemas.openxmlformats.org/officeDocument/2006/relationships/image" Target="media/image102.png"/><Relationship Id="rId173" Type="http://schemas.openxmlformats.org/officeDocument/2006/relationships/image" Target="media/image103.png"/><Relationship Id="rId174" Type="http://schemas.openxmlformats.org/officeDocument/2006/relationships/image" Target="media/image104.png"/><Relationship Id="rId175" Type="http://schemas.openxmlformats.org/officeDocument/2006/relationships/image" Target="media/image105.png"/><Relationship Id="rId176" Type="http://schemas.openxmlformats.org/officeDocument/2006/relationships/image" Target="media/image106.png"/><Relationship Id="rId177" Type="http://schemas.openxmlformats.org/officeDocument/2006/relationships/image" Target="media/image107.png"/><Relationship Id="rId178" Type="http://schemas.openxmlformats.org/officeDocument/2006/relationships/image" Target="media/image108.png"/><Relationship Id="rId179" Type="http://schemas.openxmlformats.org/officeDocument/2006/relationships/image" Target="media/image109.png"/><Relationship Id="rId180" Type="http://schemas.openxmlformats.org/officeDocument/2006/relationships/image" Target="media/image110.png"/><Relationship Id="rId181" Type="http://schemas.openxmlformats.org/officeDocument/2006/relationships/image" Target="media/image111.png"/><Relationship Id="rId182" Type="http://schemas.openxmlformats.org/officeDocument/2006/relationships/image" Target="media/image112.png"/><Relationship Id="rId183" Type="http://schemas.openxmlformats.org/officeDocument/2006/relationships/image" Target="media/image113.png"/><Relationship Id="rId184" Type="http://schemas.openxmlformats.org/officeDocument/2006/relationships/image" Target="media/image114.png"/><Relationship Id="rId185" Type="http://schemas.openxmlformats.org/officeDocument/2006/relationships/image" Target="media/image115.png"/><Relationship Id="rId186" Type="http://schemas.openxmlformats.org/officeDocument/2006/relationships/image" Target="media/image116.png"/><Relationship Id="rId187" Type="http://schemas.openxmlformats.org/officeDocument/2006/relationships/image" Target="media/image117.png"/><Relationship Id="rId188" Type="http://schemas.openxmlformats.org/officeDocument/2006/relationships/image" Target="media/image118.png"/><Relationship Id="rId189" Type="http://schemas.openxmlformats.org/officeDocument/2006/relationships/image" Target="media/image119.png"/><Relationship Id="rId190" Type="http://schemas.openxmlformats.org/officeDocument/2006/relationships/image" Target="media/image120.png"/><Relationship Id="rId191" Type="http://schemas.openxmlformats.org/officeDocument/2006/relationships/image" Target="media/image121.png"/><Relationship Id="rId192" Type="http://schemas.openxmlformats.org/officeDocument/2006/relationships/image" Target="media/image122.png"/><Relationship Id="rId193" Type="http://schemas.openxmlformats.org/officeDocument/2006/relationships/image" Target="media/image123.png"/><Relationship Id="rId194" Type="http://schemas.openxmlformats.org/officeDocument/2006/relationships/image" Target="media/image124.png"/><Relationship Id="rId195" Type="http://schemas.openxmlformats.org/officeDocument/2006/relationships/image" Target="media/image125.png"/><Relationship Id="rId196" Type="http://schemas.openxmlformats.org/officeDocument/2006/relationships/image" Target="media/image126.png"/><Relationship Id="rId197" Type="http://schemas.openxmlformats.org/officeDocument/2006/relationships/image" Target="media/image127.png"/><Relationship Id="rId198" Type="http://schemas.openxmlformats.org/officeDocument/2006/relationships/image" Target="media/image128.png"/><Relationship Id="rId199" Type="http://schemas.openxmlformats.org/officeDocument/2006/relationships/image" Target="media/image129.png"/><Relationship Id="rId200" Type="http://schemas.openxmlformats.org/officeDocument/2006/relationships/image" Target="media/image130.png"/><Relationship Id="rId201" Type="http://schemas.openxmlformats.org/officeDocument/2006/relationships/image" Target="media/image131.png"/><Relationship Id="rId202" Type="http://schemas.openxmlformats.org/officeDocument/2006/relationships/image" Target="media/image132.png"/><Relationship Id="rId203" Type="http://schemas.openxmlformats.org/officeDocument/2006/relationships/image" Target="media/image133.png"/><Relationship Id="rId204" Type="http://schemas.openxmlformats.org/officeDocument/2006/relationships/image" Target="media/image134.png"/><Relationship Id="rId205" Type="http://schemas.openxmlformats.org/officeDocument/2006/relationships/image" Target="media/image135.png"/><Relationship Id="rId206" Type="http://schemas.openxmlformats.org/officeDocument/2006/relationships/image" Target="media/image136.png"/><Relationship Id="rId207" Type="http://schemas.openxmlformats.org/officeDocument/2006/relationships/image" Target="media/image137.png"/><Relationship Id="rId208" Type="http://schemas.openxmlformats.org/officeDocument/2006/relationships/image" Target="media/image138.png"/><Relationship Id="rId209" Type="http://schemas.openxmlformats.org/officeDocument/2006/relationships/image" Target="media/image139.png"/><Relationship Id="rId210" Type="http://schemas.openxmlformats.org/officeDocument/2006/relationships/image" Target="media/image140.png"/><Relationship Id="rId211"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217"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21" Type="http://schemas.openxmlformats.org/officeDocument/2006/relationships/image" Target="media/image151.png"/><Relationship Id="rId222" Type="http://schemas.openxmlformats.org/officeDocument/2006/relationships/image" Target="media/image152.png"/><Relationship Id="rId223" Type="http://schemas.openxmlformats.org/officeDocument/2006/relationships/image" Target="media/image153.jpeg"/><Relationship Id="rId224" Type="http://schemas.openxmlformats.org/officeDocument/2006/relationships/image" Target="media/image154.png"/><Relationship Id="rId225" Type="http://schemas.openxmlformats.org/officeDocument/2006/relationships/image" Target="media/image155.png"/><Relationship Id="rId226" Type="http://schemas.openxmlformats.org/officeDocument/2006/relationships/image" Target="media/image156.png"/><Relationship Id="rId227" Type="http://schemas.openxmlformats.org/officeDocument/2006/relationships/image" Target="media/image157.png"/><Relationship Id="rId228" Type="http://schemas.openxmlformats.org/officeDocument/2006/relationships/image" Target="media/image158.png"/><Relationship Id="rId229" Type="http://schemas.openxmlformats.org/officeDocument/2006/relationships/image" Target="media/image159.png"/><Relationship Id="rId230" Type="http://schemas.openxmlformats.org/officeDocument/2006/relationships/image" Target="media/image160.png"/><Relationship Id="rId231" Type="http://schemas.openxmlformats.org/officeDocument/2006/relationships/image" Target="media/image161.png"/><Relationship Id="rId232" Type="http://schemas.openxmlformats.org/officeDocument/2006/relationships/image" Target="media/image162.png"/><Relationship Id="rId233" Type="http://schemas.openxmlformats.org/officeDocument/2006/relationships/image" Target="media/image163.png"/><Relationship Id="rId234" Type="http://schemas.openxmlformats.org/officeDocument/2006/relationships/image" Target="media/image164.png"/><Relationship Id="rId235" Type="http://schemas.openxmlformats.org/officeDocument/2006/relationships/image" Target="media/image165.png"/><Relationship Id="rId236" Type="http://schemas.openxmlformats.org/officeDocument/2006/relationships/image" Target="media/image166.png"/><Relationship Id="rId237" Type="http://schemas.openxmlformats.org/officeDocument/2006/relationships/image" Target="media/image167.png"/><Relationship Id="rId238" Type="http://schemas.openxmlformats.org/officeDocument/2006/relationships/image" Target="media/image168.png"/><Relationship Id="rId239" Type="http://schemas.openxmlformats.org/officeDocument/2006/relationships/image" Target="media/image169.png"/><Relationship Id="rId240" Type="http://schemas.openxmlformats.org/officeDocument/2006/relationships/image" Target="media/image170.png"/><Relationship Id="rId241" Type="http://schemas.openxmlformats.org/officeDocument/2006/relationships/image" Target="media/image171.png"/><Relationship Id="rId242" Type="http://schemas.openxmlformats.org/officeDocument/2006/relationships/image" Target="media/image172.png"/><Relationship Id="rId243" Type="http://schemas.openxmlformats.org/officeDocument/2006/relationships/image" Target="media/image173.png"/><Relationship Id="rId244" Type="http://schemas.openxmlformats.org/officeDocument/2006/relationships/image" Target="media/image174.png"/><Relationship Id="rId245" Type="http://schemas.openxmlformats.org/officeDocument/2006/relationships/image" Target="media/image175.png"/><Relationship Id="rId246" Type="http://schemas.openxmlformats.org/officeDocument/2006/relationships/image" Target="media/image176.png"/><Relationship Id="rId247" Type="http://schemas.openxmlformats.org/officeDocument/2006/relationships/image" Target="media/image177.png"/><Relationship Id="rId248" Type="http://schemas.openxmlformats.org/officeDocument/2006/relationships/image" Target="media/image178.png"/><Relationship Id="rId249" Type="http://schemas.openxmlformats.org/officeDocument/2006/relationships/image" Target="media/image179.png"/><Relationship Id="rId250" Type="http://schemas.openxmlformats.org/officeDocument/2006/relationships/image" Target="media/image180.png"/><Relationship Id="rId251" Type="http://schemas.openxmlformats.org/officeDocument/2006/relationships/image" Target="media/image181.png"/><Relationship Id="rId252" Type="http://schemas.openxmlformats.org/officeDocument/2006/relationships/image" Target="media/image182.png"/><Relationship Id="rId253" Type="http://schemas.openxmlformats.org/officeDocument/2006/relationships/image" Target="media/image183.png"/><Relationship Id="rId254" Type="http://schemas.openxmlformats.org/officeDocument/2006/relationships/image" Target="media/image184.png"/><Relationship Id="rId255" Type="http://schemas.openxmlformats.org/officeDocument/2006/relationships/image" Target="media/image185.png"/><Relationship Id="rId256" Type="http://schemas.openxmlformats.org/officeDocument/2006/relationships/image" Target="media/image186.png"/><Relationship Id="rId257" Type="http://schemas.openxmlformats.org/officeDocument/2006/relationships/image" Target="media/image187.png"/><Relationship Id="rId258" Type="http://schemas.openxmlformats.org/officeDocument/2006/relationships/image" Target="media/image188.png"/><Relationship Id="rId259" Type="http://schemas.openxmlformats.org/officeDocument/2006/relationships/image" Target="media/image189.png"/><Relationship Id="rId260" Type="http://schemas.openxmlformats.org/officeDocument/2006/relationships/image" Target="media/image190.png"/><Relationship Id="rId261" Type="http://schemas.openxmlformats.org/officeDocument/2006/relationships/image" Target="media/image191.png"/><Relationship Id="rId262" Type="http://schemas.openxmlformats.org/officeDocument/2006/relationships/image" Target="media/image192.png"/><Relationship Id="rId263" Type="http://schemas.openxmlformats.org/officeDocument/2006/relationships/image" Target="media/image193.png"/><Relationship Id="rId264" Type="http://schemas.openxmlformats.org/officeDocument/2006/relationships/image" Target="media/image194.png"/><Relationship Id="rId265" Type="http://schemas.openxmlformats.org/officeDocument/2006/relationships/image" Target="media/image195.png"/><Relationship Id="rId266" Type="http://schemas.openxmlformats.org/officeDocument/2006/relationships/image" Target="media/image196.png"/><Relationship Id="rId267" Type="http://schemas.openxmlformats.org/officeDocument/2006/relationships/image" Target="media/image197.png"/><Relationship Id="rId268" Type="http://schemas.openxmlformats.org/officeDocument/2006/relationships/image" Target="media/image198.png"/><Relationship Id="rId269" Type="http://schemas.openxmlformats.org/officeDocument/2006/relationships/image" Target="media/image199.png"/><Relationship Id="rId270" Type="http://schemas.openxmlformats.org/officeDocument/2006/relationships/image" Target="media/image200.png"/><Relationship Id="rId271" Type="http://schemas.openxmlformats.org/officeDocument/2006/relationships/image" Target="media/image201.png"/><Relationship Id="rId272" Type="http://schemas.openxmlformats.org/officeDocument/2006/relationships/image" Target="media/image202.png"/><Relationship Id="rId273" Type="http://schemas.openxmlformats.org/officeDocument/2006/relationships/image" Target="media/image203.png"/><Relationship Id="rId274" Type="http://schemas.openxmlformats.org/officeDocument/2006/relationships/image" Target="media/image204.png"/><Relationship Id="rId275" Type="http://schemas.openxmlformats.org/officeDocument/2006/relationships/image" Target="media/image205.png"/><Relationship Id="rId276" Type="http://schemas.openxmlformats.org/officeDocument/2006/relationships/image" Target="media/image206.png"/><Relationship Id="rId277" Type="http://schemas.openxmlformats.org/officeDocument/2006/relationships/image" Target="media/image207.png"/><Relationship Id="rId278" Type="http://schemas.openxmlformats.org/officeDocument/2006/relationships/image" Target="media/image208.png"/><Relationship Id="rId279" Type="http://schemas.openxmlformats.org/officeDocument/2006/relationships/image" Target="media/image209.png"/><Relationship Id="rId280" Type="http://schemas.openxmlformats.org/officeDocument/2006/relationships/image" Target="media/image210.png"/><Relationship Id="rId281" Type="http://schemas.openxmlformats.org/officeDocument/2006/relationships/image" Target="media/image211.png"/><Relationship Id="rId282" Type="http://schemas.openxmlformats.org/officeDocument/2006/relationships/image" Target="media/image212.png"/><Relationship Id="rId283" Type="http://schemas.openxmlformats.org/officeDocument/2006/relationships/image" Target="media/image213.png"/><Relationship Id="rId284" Type="http://schemas.openxmlformats.org/officeDocument/2006/relationships/image" Target="media/image214.png"/><Relationship Id="rId285" Type="http://schemas.openxmlformats.org/officeDocument/2006/relationships/image" Target="media/image215.png"/><Relationship Id="rId286" Type="http://schemas.openxmlformats.org/officeDocument/2006/relationships/image" Target="media/image216.png"/><Relationship Id="rId287" Type="http://schemas.openxmlformats.org/officeDocument/2006/relationships/image" Target="media/image217.png"/><Relationship Id="rId288" Type="http://schemas.openxmlformats.org/officeDocument/2006/relationships/image" Target="media/image218.png"/><Relationship Id="rId289" Type="http://schemas.openxmlformats.org/officeDocument/2006/relationships/image" Target="media/image219.png"/><Relationship Id="rId290" Type="http://schemas.openxmlformats.org/officeDocument/2006/relationships/image" Target="media/image220.png"/><Relationship Id="rId291" Type="http://schemas.openxmlformats.org/officeDocument/2006/relationships/image" Target="media/image221.png"/><Relationship Id="rId292" Type="http://schemas.openxmlformats.org/officeDocument/2006/relationships/image" Target="media/image222.png"/><Relationship Id="rId293" Type="http://schemas.openxmlformats.org/officeDocument/2006/relationships/image" Target="media/image223.png"/><Relationship Id="rId294" Type="http://schemas.openxmlformats.org/officeDocument/2006/relationships/image" Target="media/image224.png"/><Relationship Id="rId295" Type="http://schemas.openxmlformats.org/officeDocument/2006/relationships/image" Target="media/image225.png"/><Relationship Id="rId296" Type="http://schemas.openxmlformats.org/officeDocument/2006/relationships/image" Target="media/image226.png"/><Relationship Id="rId297" Type="http://schemas.openxmlformats.org/officeDocument/2006/relationships/image" Target="media/image227.png"/><Relationship Id="rId298" Type="http://schemas.openxmlformats.org/officeDocument/2006/relationships/image" Target="media/image228.png"/><Relationship Id="rId299" Type="http://schemas.openxmlformats.org/officeDocument/2006/relationships/image" Target="media/image229.png"/><Relationship Id="rId300" Type="http://schemas.openxmlformats.org/officeDocument/2006/relationships/image" Target="media/image230.png"/><Relationship Id="rId301" Type="http://schemas.openxmlformats.org/officeDocument/2006/relationships/image" Target="media/image231.png"/><Relationship Id="rId302" Type="http://schemas.openxmlformats.org/officeDocument/2006/relationships/image" Target="media/image232.png"/><Relationship Id="rId303" Type="http://schemas.openxmlformats.org/officeDocument/2006/relationships/image" Target="media/image233.png"/><Relationship Id="rId304" Type="http://schemas.openxmlformats.org/officeDocument/2006/relationships/image" Target="media/image234.png"/><Relationship Id="rId305" Type="http://schemas.openxmlformats.org/officeDocument/2006/relationships/image" Target="media/image235.png"/><Relationship Id="rId306" Type="http://schemas.openxmlformats.org/officeDocument/2006/relationships/image" Target="media/image236.png"/><Relationship Id="rId307" Type="http://schemas.openxmlformats.org/officeDocument/2006/relationships/image" Target="media/image237.png"/><Relationship Id="rId308" Type="http://schemas.openxmlformats.org/officeDocument/2006/relationships/image" Target="media/image238.png"/><Relationship Id="rId309" Type="http://schemas.openxmlformats.org/officeDocument/2006/relationships/image" Target="media/image239.png"/><Relationship Id="rId310" Type="http://schemas.openxmlformats.org/officeDocument/2006/relationships/image" Target="media/image240.png"/><Relationship Id="rId311" Type="http://schemas.openxmlformats.org/officeDocument/2006/relationships/image" Target="media/image241.png"/><Relationship Id="rId312" Type="http://schemas.openxmlformats.org/officeDocument/2006/relationships/image" Target="media/image242.png"/><Relationship Id="rId313" Type="http://schemas.openxmlformats.org/officeDocument/2006/relationships/image" Target="media/image243.png"/><Relationship Id="rId314" Type="http://schemas.openxmlformats.org/officeDocument/2006/relationships/image" Target="media/image244.png"/><Relationship Id="rId315" Type="http://schemas.openxmlformats.org/officeDocument/2006/relationships/image" Target="media/image245.png"/><Relationship Id="rId316" Type="http://schemas.openxmlformats.org/officeDocument/2006/relationships/image" Target="media/image246.png"/><Relationship Id="rId317" Type="http://schemas.openxmlformats.org/officeDocument/2006/relationships/image" Target="media/image247.png"/><Relationship Id="rId318" Type="http://schemas.openxmlformats.org/officeDocument/2006/relationships/image" Target="media/image248.png"/><Relationship Id="rId319" Type="http://schemas.openxmlformats.org/officeDocument/2006/relationships/image" Target="media/image249.png"/><Relationship Id="rId320" Type="http://schemas.openxmlformats.org/officeDocument/2006/relationships/image" Target="media/image250.png"/><Relationship Id="rId321" Type="http://schemas.openxmlformats.org/officeDocument/2006/relationships/image" Target="media/image251.png"/><Relationship Id="rId322" Type="http://schemas.openxmlformats.org/officeDocument/2006/relationships/image" Target="media/image252.png"/><Relationship Id="rId323" Type="http://schemas.openxmlformats.org/officeDocument/2006/relationships/image" Target="media/image253.png"/><Relationship Id="rId324" Type="http://schemas.openxmlformats.org/officeDocument/2006/relationships/image" Target="media/image254.png"/><Relationship Id="rId325" Type="http://schemas.openxmlformats.org/officeDocument/2006/relationships/image" Target="media/image255.png"/><Relationship Id="rId326" Type="http://schemas.openxmlformats.org/officeDocument/2006/relationships/image" Target="media/image256.png"/><Relationship Id="rId327" Type="http://schemas.openxmlformats.org/officeDocument/2006/relationships/image" Target="media/image257.png"/><Relationship Id="rId328" Type="http://schemas.openxmlformats.org/officeDocument/2006/relationships/image" Target="media/image258.png"/><Relationship Id="rId329" Type="http://schemas.openxmlformats.org/officeDocument/2006/relationships/image" Target="media/image259.png"/><Relationship Id="rId330" Type="http://schemas.openxmlformats.org/officeDocument/2006/relationships/image" Target="media/image260.png"/><Relationship Id="rId331" Type="http://schemas.openxmlformats.org/officeDocument/2006/relationships/image" Target="media/image261.png"/><Relationship Id="rId332" Type="http://schemas.openxmlformats.org/officeDocument/2006/relationships/image" Target="media/image262.png"/><Relationship Id="rId333" Type="http://schemas.openxmlformats.org/officeDocument/2006/relationships/image" Target="media/image263.png"/><Relationship Id="rId334" Type="http://schemas.openxmlformats.org/officeDocument/2006/relationships/image" Target="media/image264.png"/><Relationship Id="rId335" Type="http://schemas.openxmlformats.org/officeDocument/2006/relationships/image" Target="media/image265.png"/><Relationship Id="rId102" Type="http://schemas.openxmlformats.org/officeDocument/2006/relationships/hyperlink" Target="http://www.sec.gov/Archives/edgar/data/0001501697/000162828021005139/securitiespurchaseagreement.htm" TargetMode="External"/><Relationship Id="rId103" Type="http://schemas.openxmlformats.org/officeDocument/2006/relationships/hyperlink" Target="http://www.sec.gov/Archives/edgar/data/0001501697/000162828021005139/regrights.htm" TargetMode="External"/><Relationship Id="rId104" Type="http://schemas.openxmlformats.org/officeDocument/2006/relationships/hyperlink" Target="http://www.sec.gov/Archives/edgar/data/1501697/000119312519106621/d734812dex41.htm" TargetMode="External"/><Relationship Id="rId105" Type="http://schemas.openxmlformats.org/officeDocument/2006/relationships/hyperlink" Target="http://www.sec.gov/Archives/edgar/data/1501697/000119312519106621/d734812dex42.htm" TargetMode="External"/><Relationship Id="rId106" Type="http://schemas.openxmlformats.org/officeDocument/2006/relationships/hyperlink" Target="http://www.sec.gov/Archives/edgar/data/1501697/000119312519302716/d838637dex41.htm" TargetMode="External"/><Relationship Id="rId107" Type="http://schemas.openxmlformats.org/officeDocument/2006/relationships/hyperlink" Target="http://www.sec.gov/Archives/edgar/data/1501697/000162828022024161/x4-ex31to8xkxcharteramen.htm" TargetMode="External"/><Relationship Id="rId108" Type="http://schemas.openxmlformats.org/officeDocument/2006/relationships/hyperlink" Target="http://www.sec.gov/Archives/edgar/data/0001501697/000119312517348213/d495338dex32.htm" TargetMode="External"/><Relationship Id="rId109" Type="http://schemas.openxmlformats.org/officeDocument/2006/relationships/hyperlink" Target="http://www.sec.gov/Archives/edgar/data/1501697/000119312519073465/d702482dex41.htm" TargetMode="External"/><Relationship Id="rId110" Type="http://schemas.openxmlformats.org/officeDocument/2006/relationships/hyperlink" Target="http://www.sec.gov/Archives/edgar/data/1501697/000119312519073465/d702482dex42.htm" TargetMode="External"/><Relationship Id="rId111" Type="http://schemas.openxmlformats.org/officeDocument/2006/relationships/hyperlink" Target="http://www.sec.gov/Archives/edgar/data/1501697/000119312519073465/d702482dex43.htm" TargetMode="External"/><Relationship Id="rId112" Type="http://schemas.openxmlformats.org/officeDocument/2006/relationships/hyperlink" Target="http://www.sec.gov/Archives/edgar/data/1501697/000119312519073465/d702482dex44.htm" TargetMode="External"/><Relationship Id="rId113" Type="http://schemas.openxmlformats.org/officeDocument/2006/relationships/hyperlink" Target="http://www.sec.gov/Archives/edgar/data/1501697/000119312519073465/d702482dex45.htm" TargetMode="External"/><Relationship Id="rId114" Type="http://schemas.openxmlformats.org/officeDocument/2006/relationships/hyperlink" Target="http://www.sec.gov/Archives/edgar/data/1501697/000119312519073465/d702482dex46.htm" TargetMode="External"/><Relationship Id="rId118" Type="http://schemas.openxmlformats.org/officeDocument/2006/relationships/hyperlink" Target="http://www.sec.gov/Archives/edgar/data/0001501697/000162828021005139/formofprefundedwarrant.htm" TargetMode="External"/><Relationship Id="rId119" Type="http://schemas.openxmlformats.org/officeDocument/2006/relationships/hyperlink" Target="http://www.sec.gov/Archives/edgar/data/0001501697/000162828021022069/ex101securitiespurchaseagr.htm" TargetMode="External"/><Relationship Id="rId120" Type="http://schemas.openxmlformats.org/officeDocument/2006/relationships/hyperlink" Target="http://www.sec.gov/Archives/edgar/data/0001501697/000162828021022069/ex102registrationrightsagr.htm" TargetMode="External"/><Relationship Id="rId121" Type="http://schemas.openxmlformats.org/officeDocument/2006/relationships/hyperlink" Target="http://www.sec.gov/Archives/edgar/data/0001501697/000162828021022069/ex41formofprefundedwarrant.htm" TargetMode="External"/><Relationship Id="rId122" Type="http://schemas.openxmlformats.org/officeDocument/2006/relationships/hyperlink" Target="http://www.sec.gov/Archives/edgar/data/0001501697/000119312520213051/d85689dex12.htm" TargetMode="External"/><Relationship Id="rId123" Type="http://schemas.openxmlformats.org/officeDocument/2006/relationships/hyperlink" Target="http://www.sec.gov/Archives/edgar/data/1501697/000162828022004915/ex41formofpre-fundedwarrant.htm" TargetMode="External"/><Relationship Id="rId124" Type="http://schemas.openxmlformats.org/officeDocument/2006/relationships/hyperlink" Target="http://www.sec.gov/Archives/edgar/data/1501697/000162828022004915/ex101securitiespurchaseagr.htm" TargetMode="External"/><Relationship Id="rId125" Type="http://schemas.openxmlformats.org/officeDocument/2006/relationships/hyperlink" Target="http://www.sec.gov/Archives/edgar/data/1501697/000162828022004915/ex102registrationrightsagr.htm" TargetMode="External"/><Relationship Id="rId126" Type="http://schemas.openxmlformats.org/officeDocument/2006/relationships/hyperlink" Target="http://www.sec.gov/Archives/edgar/data/1501697/000162828022000967/ex_101purchaseagreement.htm" TargetMode="External"/><Relationship Id="rId127" Type="http://schemas.openxmlformats.org/officeDocument/2006/relationships/hyperlink" Target="http://www.sec.gov/Archives/edgar/data/1501697/000162828022000967/ex_102registrationrights.htm" TargetMode="External"/><Relationship Id="rId128" Type="http://schemas.openxmlformats.org/officeDocument/2006/relationships/hyperlink" Target="http://www.sec.gov/Archives/edgar/data/1501697/000162828022018392/ex101securitiespurchaseagr.htm" TargetMode="External"/><Relationship Id="rId129" Type="http://schemas.openxmlformats.org/officeDocument/2006/relationships/hyperlink" Target="http://www.sec.gov/Archives/edgar/data/1501697/000162828022018392/ex102registrationrightsjun.htm" TargetMode="External"/><Relationship Id="rId130" Type="http://schemas.openxmlformats.org/officeDocument/2006/relationships/hyperlink" Target="http://www.sec.gov/Archives/edgar/data/1501697/000162828022018392/ex-41formofprefundedwarrant.htm" TargetMode="External"/><Relationship Id="rId131" Type="http://schemas.openxmlformats.org/officeDocument/2006/relationships/hyperlink" Target="http://www.sec.gov/Archives/edgar/data/1501697/000162828022018392/ex-42formofwarrant.htm" TargetMode="External"/><Relationship Id="rId132" Type="http://schemas.openxmlformats.org/officeDocument/2006/relationships/hyperlink" Target="http://www.sec.gov/Archives/edgar/data/1501697/000162828022031632/ex41xforformofprefundedwar.htm" TargetMode="External"/><Relationship Id="rId133" Type="http://schemas.openxmlformats.org/officeDocument/2006/relationships/hyperlink" Target="http://www.sec.gov/Archives/edgar/data/1501697/000162828022031632/ex42xforformofclasscwarrant.htm" TargetMode="External"/><Relationship Id="rId134" Type="http://schemas.openxmlformats.org/officeDocument/2006/relationships/hyperlink" Target="http://www.sec.gov/Archives/edgar/data/1501697/000119312519073465/d702482dex1011.htm" TargetMode="External"/><Relationship Id="rId135" Type="http://schemas.openxmlformats.org/officeDocument/2006/relationships/hyperlink" Target="http://www.sec.gov/Archives/edgar/data/1501697/000119312519095792/d711669dex1012.htm" TargetMode="External"/><Relationship Id="rId136" Type="http://schemas.openxmlformats.org/officeDocument/2006/relationships/hyperlink" Target="http://www.sec.gov/Archives/edgar/data/1501697/000119312519176532/d765457dex106.htm" TargetMode="External"/><Relationship Id="rId137" Type="http://schemas.openxmlformats.org/officeDocument/2006/relationships/hyperlink" Target="http://www.sec.gov/Archives/edgar/data/1501697/000162828020009216/xfor_06102020xamendedandre.htm" TargetMode="External"/><Relationship Id="rId138" Type="http://schemas.openxmlformats.org/officeDocument/2006/relationships/hyperlink" Target="http://www.sec.gov/Archives/edgar/data/0001501697/000119312517315505/d427310dex108.htm" TargetMode="External"/><Relationship Id="rId139" Type="http://schemas.openxmlformats.org/officeDocument/2006/relationships/hyperlink" Target="http://www.sec.gov/Archives/edgar/data/0001501697/000119312517315505/d427310dex109.htm" TargetMode="External"/><Relationship Id="rId140" Type="http://schemas.openxmlformats.org/officeDocument/2006/relationships/hyperlink" Target="http://www.sec.gov/Archives/edgar/data/1501697/000119312518334447/d663229dex106.htm" TargetMode="External"/><Relationship Id="rId141" Type="http://schemas.openxmlformats.org/officeDocument/2006/relationships/hyperlink" Target="http://www.sec.gov/Archives/edgar/data/1501697/000119312519176532/d765457dex105.htm" TargetMode="External"/><Relationship Id="rId142" Type="http://schemas.openxmlformats.org/officeDocument/2006/relationships/hyperlink" Target="http://www.sec.gov/Archives/edgar/data/1501697/000162828020009216/x4-2017planxformofperforma.htm" TargetMode="External"/><Relationship Id="rId143" Type="http://schemas.openxmlformats.org/officeDocument/2006/relationships/hyperlink" Target="http://www.sec.gov/Archives/edgar/data/0001501697/000119312517315505/d427310dex1010.htm" TargetMode="External"/><Relationship Id="rId144" Type="http://schemas.openxmlformats.org/officeDocument/2006/relationships/hyperlink" Target="http://www.sec.gov/Archives/edgar/data/1501697/000119312522311765/d433768dex101.htm" TargetMode="External"/><Relationship Id="rId146" Type="http://schemas.openxmlformats.org/officeDocument/2006/relationships/hyperlink" Target="http://www.sec.gov/Archives/edgar/data/1501697/000119312519176532/d765457dex102.htm" TargetMode="External"/><Relationship Id="rId147" Type="http://schemas.openxmlformats.org/officeDocument/2006/relationships/hyperlink" Target="http://www.sec.gov/Archives/edgar/data/1501697/000119312519176532/d765457dex103.htm" TargetMode="External"/><Relationship Id="rId148" Type="http://schemas.openxmlformats.org/officeDocument/2006/relationships/hyperlink" Target="http://www.sec.gov/Archives/edgar/data/1501697/000119312519176532/d765457dex104.htm" TargetMode="External"/><Relationship Id="rId149" Type="http://schemas.openxmlformats.org/officeDocument/2006/relationships/hyperlink" Target="http://www.sec.gov/Archives/edgar/data/0001501697/000119312517333514/d427310dex1036.htm" TargetMode="External"/><Relationship Id="rId150" Type="http://schemas.openxmlformats.org/officeDocument/2006/relationships/hyperlink" Target="http://www.sec.gov/Archives/edgar/data/1501697/000119312519073465/d702482dex103.htm" TargetMode="External"/><Relationship Id="rId151" Type="http://schemas.openxmlformats.org/officeDocument/2006/relationships/hyperlink" Target="http://www.sec.gov/Archives/edgar/data/0001501697/000162828020006998/ex101.htm" TargetMode="External"/><Relationship Id="rId152" Type="http://schemas.openxmlformats.org/officeDocument/2006/relationships/hyperlink" Target="http://www.sec.gov/Archives/edgar/data/1501697/000162828022006547/ex1019.htm" TargetMode="External"/><Relationship Id="rId153" Type="http://schemas.openxmlformats.org/officeDocument/2006/relationships/hyperlink" Target="http://www.sec.gov/Archives/edgar/data/1501697/000162828022006547/ex1023.htm" TargetMode="External"/><Relationship Id="rId154" Type="http://schemas.openxmlformats.org/officeDocument/2006/relationships/hyperlink" Target="http://www.sec.gov/Archives/edgar/data/1501697/000119312519145463/d944716dex105.htm" TargetMode="External"/><Relationship Id="rId155" Type="http://schemas.openxmlformats.org/officeDocument/2006/relationships/hyperlink" Target="http://www.sec.gov/Archives/edgar/data/1501697/000119312519145463/d944716dex106.htm" TargetMode="External"/><Relationship Id="rId156" Type="http://schemas.openxmlformats.org/officeDocument/2006/relationships/hyperlink" Target="http://www.sec.gov/Archives/edgar/data/1501697/000119312519145463/d944716dex107.htm" TargetMode="External"/><Relationship Id="rId157" Type="http://schemas.openxmlformats.org/officeDocument/2006/relationships/hyperlink" Target="http://www.sec.gov/Archives/edgar/data/1501697/000119312519145463/d944716dex108.htm" TargetMode="External"/><Relationship Id="rId158" Type="http://schemas.openxmlformats.org/officeDocument/2006/relationships/hyperlink" Target="http://www.sec.gov/Archives/edgar/data/0001501697/000162828021005202/dfci.htm" TargetMode="External"/><Relationship Id="rId159" Type="http://schemas.openxmlformats.org/officeDocument/2006/relationships/hyperlink" Target="http://www.sec.gov/Archives/edgar/data/1501697/000162828020003484/ex1032leasedatedasofno.htm" TargetMode="External"/><Relationship Id="rId160" Type="http://schemas.openxmlformats.org/officeDocument/2006/relationships/hyperlink" Target="http://www.sec.gov/Archives/edgar/data/1501697/000119312519103832/d733375dex101.htm" TargetMode="External"/><Relationship Id="rId161" Type="http://schemas.openxmlformats.org/officeDocument/2006/relationships/hyperlink" Target="http://www.sec.gov/Archives/edgar/data/1501697/000162828020003484/ex35masterservicesagre.htm" TargetMode="External"/><Relationship Id="rId162" Type="http://schemas.openxmlformats.org/officeDocument/2006/relationships/hyperlink" Target="http://www.sec.gov/Archives/edgar/data/1501697/000162828020003484/ex1036amendment1tomast.htm" TargetMode="External"/><Relationship Id="rId164" Type="http://schemas.openxmlformats.org/officeDocument/2006/relationships/hyperlink" Target="http://www.sec.gov/Archives/edgar/data/1501697/000162828020003484/ex1037amendment2tomast.htm" TargetMode="External"/><Relationship Id="rId165" Type="http://schemas.openxmlformats.org/officeDocument/2006/relationships/hyperlink" Target="http://www.sec.gov/Archives/edgar/data/1501697/000162828020003484/ex1038masterservicesag.htm" TargetMode="External"/><Relationship Id="rId166" Type="http://schemas.openxmlformats.org/officeDocument/2006/relationships/hyperlink" Target="http://www.sec.gov/Archives/edgar/data/1501697/000162828020003484/ex1039amendment1tomast.htm" TargetMode="External"/><Relationship Id="rId167" Type="http://schemas.openxmlformats.org/officeDocument/2006/relationships/hyperlink" Target="http://www.sec.gov/Archives/edgar/data/0001501697/000162828021005202/aptuitamendment2.htm" TargetMode="External"/><Relationship Id="rId168" Type="http://schemas.openxmlformats.org/officeDocument/2006/relationships/hyperlink" Target="http://www.sec.gov/Archives/edgar/data/1501697/000162828022029252/a101formofstockappreciatio.htm" TargetMode="External"/><Relationship Id="rId169" Type="http://schemas.openxmlformats.org/officeDocument/2006/relationships/hyperlink" Target="http://www.sec.gov/Archives/edgar/data/1501697/000162828022006547/ex_211xlistofsubsidiaries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2023-03-21T16:34:00Z</dcterms:created>
  <dcterms:modified xsi:type="dcterms:W3CDTF">2023-03-21T16:34:00Z</dcterms:modified>
</cp:coreProperties>
</file>