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01802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802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351790</wp:posOffset>
            </wp:positionV>
            <wp:extent cx="70180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8020" cy="5715"/>
                    </a:xfrm>
                    <a:prstGeom prst="rect">
                      <a:avLst/>
                    </a:prstGeom>
                    <a:noFill/>
                  </pic:spPr>
                </pic:pic>
              </a:graphicData>
            </a:graphic>
          </wp:anchor>
        </w:drawing>
        <w:t>UNITED STATES</w:t>
      </w:r>
    </w:p>
    <w:p>
      <w:pPr>
        <w:spacing w:after="0" w:line="27" w:lineRule="exact"/>
        <w:rPr>
          <w:sz w:val="24"/>
          <w:szCs w:val="24"/>
          <w:color w:val="auto"/>
        </w:rPr>
      </w:pPr>
    </w:p>
    <w:p>
      <w:pPr>
        <w:jc w:val="center"/>
        <w:ind w:right="-227"/>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ind w:right="-22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5"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78" w:lineRule="exact"/>
        <w:rPr>
          <w:sz w:val="24"/>
          <w:szCs w:val="24"/>
          <w:color w:val="auto"/>
        </w:rPr>
      </w:pPr>
    </w:p>
    <w:p>
      <w:pPr>
        <w:jc w:val="center"/>
        <w:ind w:right="-22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2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22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53" w:lineRule="exact"/>
        <w:rPr>
          <w:sz w:val="24"/>
          <w:szCs w:val="24"/>
          <w:color w:val="auto"/>
        </w:rPr>
      </w:pPr>
    </w:p>
    <w:p>
      <w:pPr>
        <w:jc w:val="center"/>
        <w:ind w:right="-22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234315</wp:posOffset>
            </wp:positionH>
            <wp:positionV relativeFrom="paragraph">
              <wp:posOffset>24765</wp:posOffset>
            </wp:positionV>
            <wp:extent cx="67094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9410" cy="5715"/>
                    </a:xfrm>
                    <a:prstGeom prst="rect">
                      <a:avLst/>
                    </a:prstGeom>
                    <a:noFill/>
                  </pic:spPr>
                </pic:pic>
              </a:graphicData>
            </a:graphic>
          </wp:anchor>
        </w:drawing>
      </w:r>
    </w:p>
    <w:p>
      <w:pPr>
        <w:spacing w:after="0" w:line="83" w:lineRule="exact"/>
        <w:rPr>
          <w:sz w:val="24"/>
          <w:szCs w:val="24"/>
          <w:color w:val="auto"/>
        </w:rPr>
      </w:pPr>
    </w:p>
    <w:p>
      <w:pPr>
        <w:jc w:val="center"/>
        <w:ind w:right="-227"/>
        <w:spacing w:after="0"/>
        <w:rPr>
          <w:sz w:val="20"/>
          <w:szCs w:val="20"/>
          <w:color w:val="auto"/>
        </w:rPr>
      </w:pPr>
      <w:r>
        <w:rPr>
          <w:rFonts w:ascii="Times New Roman" w:cs="Times New Roman" w:eastAsia="Times New Roman" w:hAnsi="Times New Roman"/>
          <w:sz w:val="26"/>
          <w:szCs w:val="26"/>
          <w:b w:val="1"/>
          <w:bCs w:val="1"/>
          <w:color w:val="auto"/>
        </w:rPr>
        <w:t>X4 PHARMACEUTICALS, INC.</w:t>
      </w:r>
    </w:p>
    <w:p>
      <w:pPr>
        <w:spacing w:after="0" w:line="43" w:lineRule="exact"/>
        <w:rPr>
          <w:sz w:val="24"/>
          <w:szCs w:val="24"/>
          <w:color w:val="auto"/>
        </w:rPr>
      </w:pPr>
    </w:p>
    <w:p>
      <w:pPr>
        <w:jc w:val="center"/>
        <w:ind w:right="-22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234315</wp:posOffset>
            </wp:positionH>
            <wp:positionV relativeFrom="paragraph">
              <wp:posOffset>3175</wp:posOffset>
            </wp:positionV>
            <wp:extent cx="67094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9410" cy="5715"/>
                    </a:xfrm>
                    <a:prstGeom prst="rect">
                      <a:avLst/>
                    </a:prstGeom>
                    <a:noFill/>
                  </pic:spPr>
                </pic:pic>
              </a:graphicData>
            </a:graphic>
          </wp:anchor>
        </w:drawing>
      </w:r>
    </w:p>
    <w:p>
      <w:pPr>
        <w:sectPr>
          <w:pgSz w:w="11900" w:h="16838" w:orient="portrait"/>
          <w:cols w:equalWidth="0" w:num="1">
            <w:col w:w="11068"/>
          </w:cols>
          <w:pgMar w:left="292" w:top="801" w:right="539" w:bottom="1440" w:gutter="0" w:footer="0" w:header="0"/>
        </w:sectPr>
      </w:pPr>
    </w:p>
    <w:p>
      <w:pPr>
        <w:spacing w:after="0" w:line="156" w:lineRule="exact"/>
        <w:rPr>
          <w:sz w:val="24"/>
          <w:szCs w:val="24"/>
          <w:color w:val="auto"/>
        </w:rPr>
      </w:pPr>
    </w:p>
    <w:p>
      <w:pPr>
        <w:ind w:left="1968"/>
        <w:spacing w:after="0"/>
        <w:rPr>
          <w:sz w:val="20"/>
          <w:szCs w:val="20"/>
          <w:color w:val="auto"/>
        </w:rPr>
      </w:pPr>
      <w:r>
        <w:rPr>
          <w:rFonts w:ascii="Times New Roman" w:cs="Times New Roman" w:eastAsia="Times New Roman" w:hAnsi="Times New Roman"/>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2620"/>
        <w:spacing w:after="0"/>
        <w:rPr>
          <w:sz w:val="20"/>
          <w:szCs w:val="20"/>
          <w:color w:val="auto"/>
        </w:rPr>
      </w:pPr>
      <w:r>
        <w:rPr>
          <w:rFonts w:ascii="Times New Roman" w:cs="Times New Roman" w:eastAsia="Times New Roman" w:hAnsi="Times New Roman"/>
          <w:sz w:val="10"/>
          <w:szCs w:val="10"/>
          <w:b w:val="1"/>
          <w:bCs w:val="1"/>
          <w:color w:val="auto"/>
        </w:rPr>
        <w:t>001-38295</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27-3181608</w:t>
      </w:r>
    </w:p>
    <w:p>
      <w:pPr>
        <w:spacing w:after="0" w:line="27" w:lineRule="exact"/>
        <w:rPr>
          <w:sz w:val="24"/>
          <w:szCs w:val="24"/>
          <w:color w:val="auto"/>
        </w:rPr>
      </w:pPr>
    </w:p>
    <w:p>
      <w:pPr>
        <w:sectPr>
          <w:pgSz w:w="11900" w:h="16838" w:orient="portrait"/>
          <w:cols w:equalWidth="0" w:num="3">
            <w:col w:w="4808" w:space="720"/>
            <w:col w:w="3080" w:space="720"/>
            <w:col w:w="1740"/>
          </w:cols>
          <w:pgMar w:left="292" w:top="801" w:right="539" w:bottom="1440" w:gutter="0" w:footer="0" w:header="0"/>
          <w:type w:val="continuous"/>
        </w:sectPr>
      </w:pPr>
    </w:p>
    <w:p>
      <w:pPr>
        <w:ind w:left="1248"/>
        <w:spacing w:after="0"/>
        <w:rPr>
          <w:sz w:val="20"/>
          <w:szCs w:val="20"/>
          <w:color w:val="auto"/>
        </w:rPr>
      </w:pPr>
      <w:r>
        <w:rPr>
          <w:rFonts w:ascii="Times New Roman" w:cs="Times New Roman" w:eastAsia="Times New Roman" w:hAnsi="Times New Roman"/>
          <w:sz w:val="8"/>
          <w:szCs w:val="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(IRS Employer Identification No.)</w:t>
      </w:r>
    </w:p>
    <w:p>
      <w:pPr>
        <w:spacing w:after="0" w:line="200" w:lineRule="exact"/>
        <w:rPr>
          <w:sz w:val="24"/>
          <w:szCs w:val="24"/>
          <w:color w:val="auto"/>
        </w:rPr>
      </w:pPr>
    </w:p>
    <w:p>
      <w:pPr>
        <w:sectPr>
          <w:pgSz w:w="11900" w:h="16838" w:orient="portrait"/>
          <w:cols w:equalWidth="0" w:num="3">
            <w:col w:w="4488" w:space="720"/>
            <w:col w:w="2960" w:space="720"/>
            <w:col w:w="2180"/>
          </w:cols>
          <w:pgMar w:left="292" w:top="801" w:right="539" w:bottom="1440" w:gutter="0" w:footer="0" w:header="0"/>
          <w:type w:val="continuous"/>
        </w:sectPr>
      </w:pPr>
    </w:p>
    <w:p>
      <w:pPr>
        <w:spacing w:after="0" w:line="97" w:lineRule="exact"/>
        <w:rPr>
          <w:sz w:val="24"/>
          <w:szCs w:val="24"/>
          <w:color w:val="auto"/>
        </w:rPr>
      </w:pPr>
    </w:p>
    <w:p>
      <w:pPr>
        <w:ind w:left="1728"/>
        <w:spacing w:after="0"/>
        <w:rPr>
          <w:sz w:val="20"/>
          <w:szCs w:val="20"/>
          <w:color w:val="auto"/>
        </w:rPr>
      </w:pPr>
      <w:r>
        <w:rPr>
          <w:rFonts w:ascii="Times New Roman" w:cs="Times New Roman" w:eastAsia="Times New Roman" w:hAnsi="Times New Roman"/>
          <w:sz w:val="10"/>
          <w:szCs w:val="10"/>
          <w:b w:val="1"/>
          <w:bCs w:val="1"/>
          <w:color w:val="auto"/>
        </w:rPr>
        <w:t>61 North Beacon Street, 4th Floor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Boston, Massachusetts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02134</w:t>
      </w:r>
    </w:p>
    <w:p>
      <w:pPr>
        <w:spacing w:after="0" w:line="16" w:lineRule="exact"/>
        <w:rPr>
          <w:sz w:val="24"/>
          <w:szCs w:val="24"/>
          <w:color w:val="auto"/>
        </w:rPr>
      </w:pPr>
    </w:p>
    <w:p>
      <w:pPr>
        <w:sectPr>
          <w:pgSz w:w="11900" w:h="16838" w:orient="portrait"/>
          <w:cols w:equalWidth="0" w:num="3">
            <w:col w:w="3588" w:space="720"/>
            <w:col w:w="3360" w:space="720"/>
            <w:col w:w="2680"/>
          </w:cols>
          <w:pgMar w:left="292" w:top="801" w:right="539" w:bottom="1440" w:gutter="0" w:footer="0" w:header="0"/>
          <w:type w:val="continuous"/>
        </w:sectPr>
      </w:pPr>
    </w:p>
    <w:p>
      <w:pPr>
        <w:ind w:left="2268"/>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(Zip Code)</w:t>
      </w:r>
    </w:p>
    <w:p>
      <w:pPr>
        <w:spacing w:after="0" w:line="200" w:lineRule="exact"/>
        <w:rPr>
          <w:sz w:val="24"/>
          <w:szCs w:val="24"/>
          <w:color w:val="auto"/>
        </w:rPr>
      </w:pPr>
    </w:p>
    <w:p>
      <w:pPr>
        <w:sectPr>
          <w:pgSz w:w="11900" w:h="16838" w:orient="portrait"/>
          <w:cols w:equalWidth="0" w:num="2">
            <w:col w:w="7588" w:space="720"/>
            <w:col w:w="2760"/>
          </w:cols>
          <w:pgMar w:left="292" w:top="801" w:right="539" w:bottom="1440" w:gutter="0" w:footer="0" w:header="0"/>
          <w:type w:val="continuous"/>
        </w:sectPr>
      </w:pPr>
    </w:p>
    <w:p>
      <w:pPr>
        <w:spacing w:after="0" w:line="61" w:lineRule="exact"/>
        <w:rPr>
          <w:sz w:val="24"/>
          <w:szCs w:val="24"/>
          <w:color w:val="auto"/>
        </w:rPr>
      </w:pPr>
    </w:p>
    <w:p>
      <w:pPr>
        <w:jc w:val="center"/>
        <w:ind w:right="-247"/>
        <w:spacing w:after="0"/>
        <w:rPr>
          <w:sz w:val="20"/>
          <w:szCs w:val="20"/>
          <w:color w:val="auto"/>
        </w:rPr>
      </w:pPr>
      <w:r>
        <w:rPr>
          <w:rFonts w:ascii="Times New Roman" w:cs="Times New Roman" w:eastAsia="Times New Roman" w:hAnsi="Times New Roman"/>
          <w:sz w:val="12"/>
          <w:szCs w:val="12"/>
          <w:color w:val="auto"/>
        </w:rPr>
        <w:t>(857) 529-8300</w:t>
      </w:r>
    </w:p>
    <w:p>
      <w:pPr>
        <w:spacing w:after="0" w:line="17" w:lineRule="exact"/>
        <w:rPr>
          <w:sz w:val="24"/>
          <w:szCs w:val="24"/>
          <w:color w:val="auto"/>
        </w:rPr>
      </w:pPr>
    </w:p>
    <w:p>
      <w:pPr>
        <w:jc w:val="center"/>
        <w:ind w:right="-247"/>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57" w:lineRule="exact"/>
        <w:rPr>
          <w:sz w:val="24"/>
          <w:szCs w:val="24"/>
          <w:color w:val="auto"/>
        </w:rPr>
      </w:pPr>
    </w:p>
    <w:p>
      <w:pPr>
        <w:jc w:val="center"/>
        <w:ind w:right="-247"/>
        <w:spacing w:after="0"/>
        <w:rPr>
          <w:sz w:val="20"/>
          <w:szCs w:val="20"/>
          <w:color w:val="auto"/>
        </w:rPr>
      </w:pPr>
      <w:r>
        <w:rPr>
          <w:rFonts w:ascii="Times New Roman" w:cs="Times New Roman" w:eastAsia="Times New Roman" w:hAnsi="Times New Roman"/>
          <w:sz w:val="12"/>
          <w:szCs w:val="12"/>
          <w:color w:val="auto"/>
        </w:rPr>
        <w:t>Not applicable</w:t>
      </w:r>
    </w:p>
    <w:p>
      <w:pPr>
        <w:spacing w:after="0" w:line="17" w:lineRule="exact"/>
        <w:rPr>
          <w:sz w:val="24"/>
          <w:szCs w:val="24"/>
          <w:color w:val="auto"/>
        </w:rPr>
      </w:pPr>
    </w:p>
    <w:p>
      <w:pPr>
        <w:jc w:val="center"/>
        <w:ind w:right="-22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2" w:lineRule="exact"/>
        <w:rPr>
          <w:sz w:val="24"/>
          <w:szCs w:val="24"/>
          <w:color w:val="auto"/>
        </w:rPr>
      </w:pPr>
    </w:p>
    <w:p>
      <w:pPr>
        <w:jc w:val="center"/>
        <w:ind w:right="-247"/>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328" w:type="dxa"/>
        <w:tblCellMar>
          <w:top w:w="0" w:type="dxa"/>
          <w:left w:w="0" w:type="dxa"/>
          <w:bottom w:w="0" w:type="dxa"/>
          <w:right w:w="0" w:type="dxa"/>
        </w:tblCellMar>
      </w:tblPr>
      <w:tr>
        <w:trPr>
          <w:trHeight w:val="144"/>
        </w:trPr>
        <w:tc>
          <w:tcPr>
            <w:tcW w:w="4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29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31"/>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Common stock, par value $0.001 per share</w:t>
            </w:r>
          </w:p>
        </w:tc>
        <w:tc>
          <w:tcPr>
            <w:tcW w:w="180" w:type="dxa"/>
            <w:vAlign w:val="bottom"/>
          </w:tcPr>
          <w:p>
            <w:pPr>
              <w:spacing w:after="0"/>
              <w:rPr>
                <w:sz w:val="11"/>
                <w:szCs w:val="11"/>
                <w:color w:val="auto"/>
              </w:rPr>
            </w:pPr>
          </w:p>
        </w:tc>
        <w:tc>
          <w:tcPr>
            <w:tcW w:w="2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XFOR</w:t>
            </w:r>
          </w:p>
        </w:tc>
        <w:tc>
          <w:tcPr>
            <w:tcW w:w="120" w:type="dxa"/>
            <w:vAlign w:val="bottom"/>
          </w:tcPr>
          <w:p>
            <w:pPr>
              <w:spacing w:after="0"/>
              <w:rPr>
                <w:sz w:val="11"/>
                <w:szCs w:val="11"/>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The Nasdaq Stock Market LLC</w:t>
            </w:r>
          </w:p>
        </w:tc>
      </w:tr>
    </w:tbl>
    <w:p>
      <w:pPr>
        <w:spacing w:after="0" w:line="21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or Rule 12b-2 of the Securities Exchange Act of 1934.</w:t>
      </w:r>
    </w:p>
    <w:p>
      <w:pPr>
        <w:spacing w:after="0" w:line="140" w:lineRule="exact"/>
        <w:rPr>
          <w:sz w:val="24"/>
          <w:szCs w:val="24"/>
          <w:color w:val="auto"/>
        </w:rPr>
      </w:pPr>
    </w:p>
    <w:p>
      <w:pPr>
        <w:ind w:left="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71" w:lineRule="exact"/>
        <w:rPr>
          <w:sz w:val="24"/>
          <w:szCs w:val="24"/>
          <w:color w:val="auto"/>
        </w:rPr>
      </w:pPr>
    </w:p>
    <w:p>
      <w:pPr>
        <w:ind w:left="8"/>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464820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180340</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157480</wp:posOffset>
            </wp:positionV>
            <wp:extent cx="71666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068"/>
          </w:cols>
          <w:pgMar w:left="292" w:top="801" w:right="539" w:bottom="1440" w:gutter="0" w:footer="0" w:header="0"/>
          <w:type w:val="continuous"/>
        </w:sectPr>
      </w:pPr>
    </w:p>
    <w:bookmarkStart w:id="1" w:name="page2"/>
    <w:bookmarkEnd w:id="1"/>
    <w:p>
      <w:pPr>
        <w:ind w:left="8"/>
        <w:spacing w:after="0"/>
        <w:tabs>
          <w:tab w:leader="none" w:pos="5408"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82" w:lineRule="exact"/>
        <w:rPr>
          <w:sz w:val="20"/>
          <w:szCs w:val="20"/>
          <w:color w:val="auto"/>
        </w:rPr>
      </w:pPr>
    </w:p>
    <w:p>
      <w:pPr>
        <w:ind w:left="8" w:right="180"/>
        <w:spacing w:after="0" w:line="264" w:lineRule="auto"/>
        <w:rPr>
          <w:sz w:val="20"/>
          <w:szCs w:val="20"/>
          <w:color w:val="auto"/>
        </w:rPr>
      </w:pPr>
      <w:r>
        <w:rPr>
          <w:rFonts w:ascii="Times New Roman" w:cs="Times New Roman" w:eastAsia="Times New Roman" w:hAnsi="Times New Roman"/>
          <w:sz w:val="12"/>
          <w:szCs w:val="12"/>
          <w:color w:val="auto"/>
        </w:rPr>
        <w:t>On October 29, 2026, X4 Pharmaceuticals, Inc. (the “Company”) will be posting to its website an investor presentation to be used in the Company’s October 29, 2029 Investor Day event. A copy of the presentation is filed as Exhibit 99.1 to this Current Report on Form 8-K and is incorporated by reference herein.</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To access the presentation, investors should visit the “Investors” section of the Company’s website at </w:t>
      </w:r>
      <w:r>
        <w:rPr>
          <w:rFonts w:ascii="Times New Roman" w:cs="Times New Roman" w:eastAsia="Times New Roman" w:hAnsi="Times New Roman"/>
          <w:sz w:val="12"/>
          <w:szCs w:val="12"/>
          <w:color w:val="0000FF"/>
        </w:rPr>
        <w:t>www.x4pharma.com</w:t>
      </w:r>
      <w:r>
        <w:rPr>
          <w:rFonts w:ascii="Times New Roman" w:cs="Times New Roman" w:eastAsia="Times New Roman" w:hAnsi="Times New Roman"/>
          <w:sz w:val="12"/>
          <w:szCs w:val="12"/>
          <w:color w:val="auto"/>
        </w:rPr>
        <w:t>.</w:t>
      </w:r>
    </w:p>
    <w:p>
      <w:pPr>
        <w:spacing w:after="0" w:line="182" w:lineRule="exact"/>
        <w:rPr>
          <w:sz w:val="20"/>
          <w:szCs w:val="20"/>
          <w:color w:val="auto"/>
        </w:rPr>
      </w:pPr>
    </w:p>
    <w:p>
      <w:pPr>
        <w:ind w:left="8"/>
        <w:spacing w:after="0"/>
        <w:tabs>
          <w:tab w:leader="none" w:pos="382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80" w:lineRule="exact"/>
        <w:rPr>
          <w:sz w:val="20"/>
          <w:szCs w:val="20"/>
          <w:color w:val="auto"/>
        </w:rPr>
      </w:pPr>
    </w:p>
    <w:p>
      <w:pPr>
        <w:ind w:left="168" w:hanging="168"/>
        <w:spacing w:after="0"/>
        <w:tabs>
          <w:tab w:leader="none" w:pos="168"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Exhibits. </w:t>
      </w:r>
      <w:r>
        <w:rPr>
          <w:rFonts w:ascii="Times New Roman" w:cs="Times New Roman" w:eastAsia="Times New Roman" w:hAnsi="Times New Roman"/>
          <w:sz w:val="12"/>
          <w:szCs w:val="12"/>
          <w:color w:val="auto"/>
        </w:rPr>
        <w:t>The following exhibits are being filed herewith:</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9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Title or Description</w:t>
            </w:r>
          </w:p>
        </w:tc>
      </w:tr>
      <w:tr>
        <w:trPr>
          <w:trHeight w:val="133"/>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99.1</w:t>
            </w:r>
          </w:p>
        </w:tc>
        <w:tc>
          <w:tcPr>
            <w:tcW w:w="90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Investor Day Presentation, dated October 29, 2026</w:t>
            </w:r>
          </w:p>
        </w:tc>
      </w:tr>
      <w:tr>
        <w:trPr>
          <w:trHeight w:val="72"/>
        </w:trPr>
        <w:tc>
          <w:tcPr>
            <w:tcW w:w="2300" w:type="dxa"/>
            <w:vAlign w:val="bottom"/>
            <w:tcBorders>
              <w:top w:val="single" w:sz="8" w:color="CCEEFF"/>
            </w:tcBorders>
          </w:tcPr>
          <w:p>
            <w:pPr>
              <w:spacing w:after="0"/>
              <w:rPr>
                <w:sz w:val="6"/>
                <w:szCs w:val="6"/>
                <w:color w:val="auto"/>
              </w:rPr>
            </w:pPr>
          </w:p>
        </w:tc>
        <w:tc>
          <w:tcPr>
            <w:tcW w:w="2440" w:type="dxa"/>
            <w:vAlign w:val="bottom"/>
            <w:tcBorders>
              <w:top w:val="single" w:sz="8" w:color="0000FF"/>
            </w:tcBorders>
          </w:tcPr>
          <w:p>
            <w:pPr>
              <w:spacing w:after="0"/>
              <w:rPr>
                <w:sz w:val="6"/>
                <w:szCs w:val="6"/>
                <w:color w:val="auto"/>
              </w:rPr>
            </w:pPr>
          </w:p>
        </w:tc>
        <w:tc>
          <w:tcPr>
            <w:tcW w:w="6560" w:type="dxa"/>
            <w:vAlign w:val="bottom"/>
            <w:tcBorders>
              <w:top w:val="single" w:sz="8" w:color="CCEEFF"/>
            </w:tcBorders>
          </w:tcPr>
          <w:p>
            <w:pPr>
              <w:spacing w:after="0"/>
              <w:rPr>
                <w:sz w:val="6"/>
                <w:szCs w:val="6"/>
                <w:color w:val="auto"/>
              </w:rPr>
            </w:pPr>
          </w:p>
        </w:tc>
      </w:tr>
      <w:tr>
        <w:trPr>
          <w:trHeight w:val="15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104</w:t>
            </w:r>
          </w:p>
        </w:tc>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300" w:type="dxa"/>
            <w:vAlign w:val="bottom"/>
          </w:tcPr>
          <w:p>
            <w:pPr>
              <w:ind w:left="4480"/>
              <w:spacing w:after="0"/>
              <w:rPr>
                <w:sz w:val="20"/>
                <w:szCs w:val="20"/>
                <w:color w:val="auto"/>
              </w:rPr>
            </w:pPr>
            <w:r>
              <w:rPr>
                <w:rFonts w:ascii="Times New Roman" w:cs="Times New Roman" w:eastAsia="Times New Roman" w:hAnsi="Times New Roman"/>
                <w:sz w:val="12"/>
                <w:szCs w:val="12"/>
                <w:b w:val="1"/>
                <w:bCs w:val="1"/>
                <w:color w:val="auto"/>
              </w:rPr>
              <w:t>X4 PHARMACEUTICALS, INC.</w:t>
            </w:r>
          </w:p>
        </w:tc>
        <w:tc>
          <w:tcPr>
            <w:tcW w:w="5000" w:type="dxa"/>
            <w:vAlign w:val="bottom"/>
          </w:tcPr>
          <w:p>
            <w:pPr>
              <w:spacing w:after="0"/>
              <w:rPr>
                <w:sz w:val="13"/>
                <w:szCs w:val="13"/>
                <w:color w:val="auto"/>
              </w:rPr>
            </w:pPr>
          </w:p>
        </w:tc>
      </w:tr>
      <w:tr>
        <w:trPr>
          <w:trHeight w:val="333"/>
        </w:trPr>
        <w:tc>
          <w:tcPr>
            <w:tcW w:w="6300" w:type="dxa"/>
            <w:vAlign w:val="bottom"/>
          </w:tcPr>
          <w:p>
            <w:pPr>
              <w:ind w:left="4480"/>
              <w:spacing w:after="0"/>
              <w:rPr>
                <w:sz w:val="20"/>
                <w:szCs w:val="20"/>
                <w:color w:val="auto"/>
              </w:rPr>
            </w:pPr>
            <w:r>
              <w:rPr>
                <w:rFonts w:ascii="Times New Roman" w:cs="Times New Roman" w:eastAsia="Times New Roman" w:hAnsi="Times New Roman"/>
                <w:sz w:val="12"/>
                <w:szCs w:val="12"/>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David Kirske</w:t>
            </w:r>
          </w:p>
        </w:tc>
      </w:tr>
      <w:tr>
        <w:trPr>
          <w:trHeight w:val="140"/>
        </w:trPr>
        <w:tc>
          <w:tcPr>
            <w:tcW w:w="6300" w:type="dxa"/>
            <w:vAlign w:val="bottom"/>
          </w:tcPr>
          <w:p>
            <w:pPr>
              <w:spacing w:after="0"/>
              <w:rPr>
                <w:sz w:val="12"/>
                <w:szCs w:val="12"/>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David Kirske</w:t>
            </w:r>
          </w:p>
        </w:tc>
      </w:tr>
      <w:tr>
        <w:trPr>
          <w:trHeight w:val="155"/>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Date: October 29, 2026</w:t>
            </w:r>
          </w:p>
        </w:tc>
        <w:tc>
          <w:tcPr>
            <w:tcW w:w="5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 and Treasurer</w:t>
            </w:r>
          </w:p>
        </w:tc>
      </w:tr>
    </w:tbl>
    <w:p>
      <w:pPr>
        <w:sectPr>
          <w:pgSz w:w="11900" w:h="16838" w:orient="portrait"/>
          <w:cols w:equalWidth="0" w:num="1">
            <w:col w:w="11308"/>
          </w:cols>
          <w:pgMar w:left="292" w:top="1340" w:right="2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2026-10-29T09:01:20Z</dcterms:created>
  <dcterms:modified xsi:type="dcterms:W3CDTF">2026-10-29T09:01:20Z</dcterms:modified>
</cp:coreProperties>
</file>