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001-38295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w:t>
      </w:r>
    </w:p>
    <w:tbl>
      <w:tblPr>
        <w:tblW w:w="4409" w:type="dxa"/>
        <w:jc w:val="center"/>
        <w:tblInd w:w="0" w:type="dxa"/>
        <w:tblLayout w:type="fixed"/>
        <w:tblCellMar>
          <w:top w:w="28" w:type="dxa"/>
          <w:left w:w="28" w:type="dxa"/>
          <w:bottom w:w="28" w:type="dxa"/>
          <w:right w:w="28" w:type="dxa"/>
        </w:tblCellMar>
      </w:tblPr>
      <w:tblGrid>
        <w:gridCol w:w="1060"/>
        <w:gridCol w:w="929"/>
        <w:gridCol w:w="935"/>
        <w:gridCol w:w="434"/>
        <w:gridCol w:w="434"/>
        <w:gridCol w:w="617"/>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27-3181608</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61 North Beacon Street, 4th Floor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Boston, Massachusetts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02134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(857) 529-8300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center"/>
        <w:tblInd w:w="0" w:type="dxa"/>
        <w:tblLayout w:type="fixed"/>
        <w:tblCellMar>
          <w:top w:w="28" w:type="dxa"/>
          <w:left w:w="28" w:type="dxa"/>
          <w:bottom w:w="28" w:type="dxa"/>
          <w:right w:w="28" w:type="dxa"/>
        </w:tblCellMar>
      </w:tblPr>
      <w:tblGrid>
        <w:gridCol w:w="1361"/>
        <w:gridCol w:w="1194"/>
        <w:gridCol w:w="1210"/>
        <w:gridCol w:w="109"/>
        <w:gridCol w:w="109"/>
        <w:gridCol w:w="109"/>
        <w:gridCol w:w="484"/>
        <w:gridCol w:w="484"/>
        <w:gridCol w:w="486"/>
        <w:gridCol w:w="109"/>
        <w:gridCol w:w="109"/>
        <w:gridCol w:w="109"/>
        <w:gridCol w:w="970"/>
        <w:gridCol w:w="970"/>
        <w:gridCol w:w="137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20" w:after="283"/>
        <w:jc w:val="left"/>
        <w:rPr/>
      </w:pPr>
      <w:r>
        <w:rPr/>
      </w:r>
    </w:p>
    <w:p>
      <w:pPr>
        <w:pStyle w:val="TextBody"/>
        <w:bidi w:val="0"/>
        <w:spacing w:before="40" w:after="283"/>
        <w:jc w:val="left"/>
        <w:rPr/>
      </w:pPr>
      <w:r>
        <w:rPr/>
      </w:r>
    </w:p>
    <w:p>
      <w:pPr>
        <w:pStyle w:val="TextBody"/>
        <w:bidi w:val="0"/>
        <w:spacing w:lineRule="auto" w:line="288" w:before="40" w:after="283"/>
        <w:jc w:val="left"/>
        <w:rPr/>
      </w:pPr>
      <w:r>
        <w:rPr>
          <w:rFonts w:ascii="Times New Roman;serif" w:hAnsi="Times New Roman;serif"/>
          <w:b w:val="false"/>
          <w:color w:val="000000"/>
          <w:sz w:val="16"/>
        </w:rPr>
        <w:t xml:space="preserve">As of July 31, 2026, the registrant had </w:t>
      </w:r>
      <w:r>
        <w:rPr>
          <w:rFonts w:ascii="Times New Roman;serif" w:hAnsi="Times New Roman;serif"/>
          <w:b w:val="false"/>
          <w:color w:val="000000"/>
          <w:sz w:val="16"/>
          <w:shd w:fill="FFFFFF" w:val="clear"/>
        </w:rPr>
        <w:t>99,146,743</w:t>
      </w:r>
      <w:r>
        <w:rPr>
          <w:color w:val="000000"/>
        </w:rPr>
        <w:t xml:space="preserve"> </w:t>
      </w:r>
      <w:r>
        <w:rPr>
          <w:rFonts w:ascii="Times New Roman;serif" w:hAnsi="Times New Roman;serif"/>
          <w:b w:val="false"/>
          <w:color w:val="000000"/>
          <w:sz w:val="16"/>
        </w:rPr>
        <w:t>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12"/>
        <w:gridCol w:w="538"/>
        <w:gridCol w:w="534"/>
        <w:gridCol w:w="2511"/>
        <w:gridCol w:w="2510"/>
        <w:gridCol w:w="2488"/>
        <w:gridCol w:w="293"/>
        <w:gridCol w:w="293"/>
        <w:gridCol w:w="426"/>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X4 PHARMACEUTICALS INC.</w:t>
              <w:br/>
              <w:t>TABLE OF CONTENTS</w:t>
            </w:r>
          </w:p>
        </w:tc>
      </w:tr>
      <w:tr>
        <w:trPr/>
        <w:tc>
          <w:tcPr>
            <w:tcW w:w="91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3"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16">
              <w:r>
                <w:rPr>
                  <w:rStyle w:val="InternetLink"/>
                  <w:rFonts w:ascii="Times New Roman;serif" w:hAnsi="Times New Roman;serif"/>
                  <w:b/>
                  <w:color w:val="000000"/>
                  <w:sz w:val="20"/>
                  <w:u w:val="single"/>
                </w:rPr>
                <w:t>PART I: FINANCIAL INFORMATION</w:t>
              </w:r>
            </w:hyperlink>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Page </w:t>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1: </w:t>
            </w:r>
            <w:hyperlink w:anchor="ia01bf250c3ab4798812658116b208717_19">
              <w:r>
                <w:rPr>
                  <w:rStyle w:val="InternetLink"/>
                  <w:rFonts w:ascii="Times New Roman;serif" w:hAnsi="Times New Roman;serif"/>
                  <w:b w:val="false"/>
                  <w:strike w:val="false"/>
                  <w:dstrike w:val="false"/>
                  <w:color w:val="000000"/>
                  <w:sz w:val="20"/>
                  <w:u w:val="none"/>
                  <w:effect w:val="none"/>
                </w:rPr>
                <w:t>FINANCIAL STATEMENTS</w:t>
              </w:r>
            </w:hyperlink>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9">
              <w:r>
                <w:rPr>
                  <w:rStyle w:val="InternetLink"/>
                  <w:rFonts w:ascii="Times New Roman;serif" w:hAnsi="Times New Roman;serif"/>
                  <w:b w:val="false"/>
                  <w:strike w:val="false"/>
                  <w:dstrike w:val="false"/>
                  <w:color w:val="000000"/>
                  <w:sz w:val="20"/>
                  <w:u w:val="none"/>
                  <w:effect w:val="none"/>
                </w:rPr>
                <w:t>5</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22">
              <w:r>
                <w:rPr>
                  <w:rStyle w:val="InternetLink"/>
                  <w:rFonts w:ascii="Times New Roman;serif" w:hAnsi="Times New Roman;serif"/>
                  <w:b w:val="false"/>
                  <w:strike w:val="false"/>
                  <w:dstrike w:val="false"/>
                  <w:color w:val="000000"/>
                  <w:sz w:val="20"/>
                  <w:u w:val="none"/>
                  <w:effect w:val="none"/>
                </w:rPr>
                <w:t>Condensed Consolidated Balance Sheets (unaudited)</w:t>
              </w:r>
            </w:hyperlink>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22">
              <w:r>
                <w:rPr>
                  <w:rStyle w:val="InternetLink"/>
                  <w:rFonts w:ascii="Times New Roman;serif" w:hAnsi="Times New Roman;serif"/>
                  <w:b w:val="false"/>
                  <w:strike w:val="false"/>
                  <w:dstrike w:val="false"/>
                  <w:color w:val="000000"/>
                  <w:sz w:val="20"/>
                  <w:u w:val="none"/>
                  <w:effect w:val="none"/>
                </w:rPr>
                <w:t>5</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25">
              <w:r>
                <w:rPr>
                  <w:rStyle w:val="InternetLink"/>
                  <w:rFonts w:ascii="Times New Roman;serif" w:hAnsi="Times New Roman;serif"/>
                  <w:b w:val="false"/>
                  <w:strike w:val="false"/>
                  <w:dstrike w:val="false"/>
                  <w:color w:val="000080"/>
                  <w:sz w:val="20"/>
                  <w:u w:val="single"/>
                  <w:effect w:val="none"/>
                </w:rPr>
                <w:t xml:space="preserve">Condensed Consolidated Statements of Operations and Comprehensive </w:t>
              </w:r>
            </w:hyperlink>
            <w:hyperlink w:anchor="ia01bf250c3ab4798812658116b208717_25">
              <w:r>
                <w:rPr>
                  <w:rStyle w:val="InternetLink"/>
                  <w:rFonts w:ascii="Times New Roman;serif" w:hAnsi="Times New Roman;serif"/>
                  <w:b w:val="false"/>
                  <w:strike w:val="false"/>
                  <w:dstrike w:val="false"/>
                  <w:color w:val="000080"/>
                  <w:sz w:val="20"/>
                  <w:u w:val="single"/>
                  <w:effect w:val="none"/>
                </w:rPr>
                <w:t>Loss</w:t>
              </w:r>
            </w:hyperlink>
            <w:hyperlink w:anchor="ia01bf250c3ab4798812658116b208717_25">
              <w:r>
                <w:rPr>
                  <w:rStyle w:val="InternetLink"/>
                  <w:rFonts w:ascii="Times New Roman;serif" w:hAnsi="Times New Roman;serif"/>
                  <w:b w:val="false"/>
                  <w:strike w:val="false"/>
                  <w:dstrike w:val="false"/>
                  <w:color w:val="000080"/>
                  <w:sz w:val="20"/>
                  <w:u w:val="single"/>
                  <w:effect w:val="none"/>
                </w:rPr>
                <w:t xml:space="preserve"> </w:t>
              </w:r>
            </w:hyperlink>
            <w:hyperlink w:anchor="ia01bf250c3ab4798812658116b208717_25">
              <w:r>
                <w:rPr>
                  <w:rStyle w:val="InternetLink"/>
                  <w:rFonts w:ascii="Times New Roman;serif" w:hAnsi="Times New Roman;serif"/>
                  <w:b w:val="false"/>
                  <w:strike w:val="false"/>
                  <w:dstrike w:val="false"/>
                  <w:color w:val="000080"/>
                  <w:sz w:val="20"/>
                  <w:u w:val="single"/>
                  <w:effect w:val="none"/>
                </w:rPr>
                <w:t>(unaudited)</w:t>
              </w:r>
            </w:hyperlink>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25">
              <w:r>
                <w:rPr>
                  <w:rStyle w:val="InternetLink"/>
                  <w:rFonts w:ascii="Times New Roman;serif" w:hAnsi="Times New Roman;serif"/>
                  <w:b w:val="false"/>
                  <w:strike w:val="false"/>
                  <w:dstrike w:val="false"/>
                  <w:color w:val="000000"/>
                  <w:sz w:val="20"/>
                  <w:u w:val="none"/>
                  <w:effect w:val="none"/>
                </w:rPr>
                <w:t>6</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28">
              <w:r>
                <w:rPr>
                  <w:rStyle w:val="InternetLink"/>
                  <w:rFonts w:ascii="Times New Roman;serif" w:hAnsi="Times New Roman;serif"/>
                  <w:b w:val="false"/>
                  <w:strike w:val="false"/>
                  <w:dstrike w:val="false"/>
                  <w:color w:val="000080"/>
                  <w:sz w:val="20"/>
                  <w:u w:val="single"/>
                  <w:effect w:val="none"/>
                </w:rPr>
                <w:t xml:space="preserve">Condensed Consolidated Statements </w:t>
              </w:r>
            </w:hyperlink>
            <w:hyperlink w:anchor="ia01bf250c3ab4798812658116b208717_28">
              <w:r>
                <w:rPr>
                  <w:rStyle w:val="InternetLink"/>
                  <w:rFonts w:ascii="Times New Roman;serif" w:hAnsi="Times New Roman;serif"/>
                  <w:b w:val="false"/>
                  <w:strike w:val="false"/>
                  <w:dstrike w:val="false"/>
                  <w:color w:val="000080"/>
                  <w:sz w:val="20"/>
                  <w:u w:val="single"/>
                  <w:effect w:val="none"/>
                </w:rPr>
                <w:t xml:space="preserve">of </w:t>
              </w:r>
            </w:hyperlink>
            <w:hyperlink w:anchor="ia01bf250c3ab4798812658116b208717_28">
              <w:r>
                <w:rPr>
                  <w:rStyle w:val="InternetLink"/>
                  <w:rFonts w:ascii="Times New Roman;serif" w:hAnsi="Times New Roman;serif"/>
                  <w:b w:val="false"/>
                  <w:strike w:val="false"/>
                  <w:dstrike w:val="false"/>
                  <w:color w:val="000080"/>
                  <w:sz w:val="20"/>
                  <w:u w:val="single"/>
                  <w:effect w:val="none"/>
                </w:rPr>
                <w:t>Stockholders’ Equity (unaudited)</w:t>
              </w:r>
            </w:hyperlink>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28">
              <w:r>
                <w:rPr>
                  <w:rStyle w:val="InternetLink"/>
                  <w:rFonts w:ascii="Times New Roman;serif" w:hAnsi="Times New Roman;serif"/>
                  <w:b w:val="false"/>
                  <w:strike w:val="false"/>
                  <w:dstrike w:val="false"/>
                  <w:color w:val="000000"/>
                  <w:sz w:val="20"/>
                  <w:u w:val="none"/>
                  <w:effect w:val="none"/>
                </w:rPr>
                <w:t>7</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31">
              <w:r>
                <w:rPr>
                  <w:rStyle w:val="InternetLink"/>
                  <w:rFonts w:ascii="Times New Roman;serif" w:hAnsi="Times New Roman;serif"/>
                  <w:b w:val="false"/>
                  <w:strike w:val="false"/>
                  <w:dstrike w:val="false"/>
                  <w:color w:val="000000"/>
                  <w:sz w:val="20"/>
                  <w:u w:val="none"/>
                  <w:effect w:val="none"/>
                </w:rPr>
                <w:t>Condensed Consolidated Statements of Cash Flows (unaudited)</w:t>
              </w:r>
            </w:hyperlink>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31">
              <w:r>
                <w:rPr>
                  <w:rStyle w:val="InternetLink"/>
                  <w:rFonts w:ascii="Times New Roman;serif" w:hAnsi="Times New Roman;serif"/>
                  <w:b w:val="false"/>
                  <w:strike w:val="false"/>
                  <w:dstrike w:val="false"/>
                  <w:color w:val="000000"/>
                  <w:sz w:val="20"/>
                  <w:u w:val="none"/>
                  <w:effect w:val="none"/>
                </w:rPr>
                <w:t>9</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3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01bf250c3ab4798812658116b208717_37">
              <w:r>
                <w:rPr>
                  <w:rStyle w:val="InternetLink"/>
                  <w:rFonts w:ascii="Times New Roman;serif" w:hAnsi="Times New Roman;serif"/>
                  <w:b w:val="false"/>
                  <w:strike w:val="false"/>
                  <w:dstrike w:val="false"/>
                  <w:color w:val="000000"/>
                  <w:sz w:val="20"/>
                  <w:u w:val="none"/>
                  <w:effect w:val="none"/>
                </w:rPr>
                <w:t>10</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97">
              <w:r>
                <w:rPr>
                  <w:rStyle w:val="InternetLink"/>
                  <w:rFonts w:ascii="Times New Roman;serif" w:hAnsi="Times New Roman;serif"/>
                  <w:b w:val="false"/>
                  <w:strike w:val="false"/>
                  <w:dstrike w:val="false"/>
                  <w:color w:val="000000"/>
                  <w:sz w:val="20"/>
                  <w:u w:val="none"/>
                  <w:effect w:val="none"/>
                </w:rPr>
                <w:t>24</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3: </w:t>
            </w:r>
            <w:hyperlink w:anchor="ia01bf250c3ab4798812658116b208717_118">
              <w:r>
                <w:rPr>
                  <w:rStyle w:val="InternetLink"/>
                  <w:rFonts w:ascii="Times New Roman;serif" w:hAnsi="Times New Roman;serif"/>
                  <w:b w:val="false"/>
                  <w:strike w:val="false"/>
                  <w:dstrike w:val="false"/>
                  <w:color w:val="000000"/>
                  <w:sz w:val="20"/>
                  <w:u w:val="none"/>
                  <w:effect w:val="none"/>
                </w:rPr>
                <w:t>Quantitative and Qualitative Disclosures About Market R</w:t>
              </w:r>
            </w:hyperlink>
            <w:r>
              <w:rPr>
                <w:rFonts w:ascii="Times New Roman;serif" w:hAnsi="Times New Roman;serif"/>
                <w:b w:val="false"/>
                <w:color w:val="000000"/>
                <w:sz w:val="20"/>
              </w:rPr>
              <w:t>isk</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18">
              <w:r>
                <w:rPr>
                  <w:rStyle w:val="InternetLink"/>
                  <w:rFonts w:ascii="Times New Roman;serif" w:hAnsi="Times New Roman;serif"/>
                  <w:b w:val="false"/>
                  <w:strike w:val="false"/>
                  <w:dstrike w:val="false"/>
                  <w:color w:val="000000"/>
                  <w:sz w:val="20"/>
                  <w:u w:val="none"/>
                  <w:effect w:val="none"/>
                </w:rPr>
                <w:t>29</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4: </w:t>
            </w:r>
            <w:hyperlink w:anchor="ia01bf250c3ab4798812658116b208717_121">
              <w:r>
                <w:rPr>
                  <w:rStyle w:val="InternetLink"/>
                  <w:rFonts w:ascii="Times New Roman;serif" w:hAnsi="Times New Roman;serif"/>
                  <w:b w:val="false"/>
                  <w:strike w:val="false"/>
                  <w:dstrike w:val="false"/>
                  <w:color w:val="000000"/>
                  <w:sz w:val="20"/>
                  <w:u w:val="none"/>
                  <w:effect w:val="none"/>
                </w:rPr>
                <w:t>C</w:t>
              </w:r>
            </w:hyperlink>
            <w:r>
              <w:rPr>
                <w:rFonts w:ascii="Times New Roman;serif" w:hAnsi="Times New Roman;serif"/>
                <w:b w:val="false"/>
                <w:color w:val="000000"/>
                <w:sz w:val="20"/>
              </w:rPr>
              <w:t>ontrols and Procedures</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21">
              <w:r>
                <w:rPr>
                  <w:rStyle w:val="InternetLink"/>
                  <w:rFonts w:ascii="Times New Roman;serif" w:hAnsi="Times New Roman;serif"/>
                  <w:b w:val="false"/>
                  <w:strike w:val="false"/>
                  <w:dstrike w:val="false"/>
                  <w:color w:val="000000"/>
                  <w:sz w:val="20"/>
                  <w:u w:val="none"/>
                  <w:effect w:val="none"/>
                </w:rPr>
                <w:t>29</w:t>
              </w:r>
            </w:hyperlink>
          </w:p>
        </w:tc>
      </w:tr>
      <w:tr>
        <w:trPr/>
        <w:tc>
          <w:tcPr>
            <w:tcW w:w="9193"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124">
              <w:r>
                <w:rPr>
                  <w:rStyle w:val="InternetLink"/>
                  <w:rFonts w:ascii="Times New Roman;serif" w:hAnsi="Times New Roman;serif"/>
                  <w:b/>
                  <w:color w:val="000000"/>
                  <w:sz w:val="20"/>
                  <w:u w:val="single"/>
                </w:rPr>
                <w:t>PART II: OTHER INFORMATION</w:t>
              </w:r>
            </w:hyperlink>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1: </w:t>
            </w:r>
            <w:hyperlink w:anchor="ia01bf250c3ab4798812658116b208717_127">
              <w:r>
                <w:rPr>
                  <w:rStyle w:val="InternetLink"/>
                  <w:rFonts w:ascii="Times New Roman;serif" w:hAnsi="Times New Roman;serif"/>
                  <w:b w:val="false"/>
                  <w:strike w:val="false"/>
                  <w:dstrike w:val="false"/>
                  <w:color w:val="000000"/>
                  <w:sz w:val="20"/>
                  <w:u w:val="none"/>
                  <w:effect w:val="none"/>
                </w:rPr>
                <w:t>L</w:t>
              </w:r>
            </w:hyperlink>
            <w:r>
              <w:rPr>
                <w:rFonts w:ascii="Times New Roman;serif" w:hAnsi="Times New Roman;serif"/>
                <w:b w:val="false"/>
                <w:color w:val="000000"/>
                <w:sz w:val="20"/>
              </w:rPr>
              <w:t>egal Proceedings</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27">
              <w:r>
                <w:rPr>
                  <w:rStyle w:val="InternetLink"/>
                  <w:rFonts w:ascii="Times New Roman;serif" w:hAnsi="Times New Roman;serif"/>
                  <w:b w:val="false"/>
                  <w:strike w:val="false"/>
                  <w:dstrike w:val="false"/>
                  <w:color w:val="000000"/>
                  <w:sz w:val="20"/>
                  <w:u w:val="none"/>
                  <w:effect w:val="none"/>
                </w:rPr>
                <w:t>30</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1A: Risk Factors</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33">
              <w:r>
                <w:rPr>
                  <w:rStyle w:val="InternetLink"/>
                  <w:rFonts w:ascii="Times New Roman;serif" w:hAnsi="Times New Roman;serif"/>
                  <w:b w:val="false"/>
                  <w:strike w:val="false"/>
                  <w:dstrike w:val="false"/>
                  <w:color w:val="000000"/>
                  <w:sz w:val="20"/>
                  <w:u w:val="none"/>
                  <w:effect w:val="none"/>
                </w:rPr>
                <w:t>30</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2: </w:t>
            </w:r>
            <w:hyperlink w:anchor="ia01bf250c3ab4798812658116b208717_133">
              <w:r>
                <w:rPr>
                  <w:rStyle w:val="InternetLink"/>
                  <w:rFonts w:ascii="Times New Roman;serif" w:hAnsi="Times New Roman;serif"/>
                  <w:b w:val="false"/>
                  <w:strike w:val="false"/>
                  <w:dstrike w:val="false"/>
                  <w:color w:val="000000"/>
                  <w:sz w:val="20"/>
                  <w:u w:val="none"/>
                  <w:effect w:val="none"/>
                </w:rPr>
                <w:t>U</w:t>
              </w:r>
            </w:hyperlink>
            <w:r>
              <w:rPr>
                <w:rFonts w:ascii="Times New Roman;serif" w:hAnsi="Times New Roman;serif"/>
                <w:b w:val="false"/>
                <w:color w:val="000000"/>
                <w:sz w:val="20"/>
              </w:rPr>
              <w:t>nregistered Sales of Equity Securities and Use of Proceeds</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33">
              <w:r>
                <w:rPr>
                  <w:rStyle w:val="InternetLink"/>
                  <w:rFonts w:ascii="Times New Roman;serif" w:hAnsi="Times New Roman;serif"/>
                  <w:b w:val="false"/>
                  <w:strike w:val="false"/>
                  <w:dstrike w:val="false"/>
                  <w:color w:val="000000"/>
                  <w:sz w:val="20"/>
                  <w:u w:val="none"/>
                  <w:effect w:val="none"/>
                </w:rPr>
                <w:t>30</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 Defaults upon Senior Securities</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36">
              <w:r>
                <w:rPr>
                  <w:rStyle w:val="InternetLink"/>
                  <w:rFonts w:ascii="Times New Roman;serif" w:hAnsi="Times New Roman;serif"/>
                  <w:b w:val="false"/>
                  <w:strike w:val="false"/>
                  <w:dstrike w:val="false"/>
                  <w:color w:val="000000"/>
                  <w:sz w:val="20"/>
                  <w:u w:val="none"/>
                  <w:effect w:val="none"/>
                </w:rPr>
                <w:t>30</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4: </w:t>
            </w:r>
            <w:hyperlink w:anchor="ia01bf250c3ab4798812658116b208717_139">
              <w:r>
                <w:rPr>
                  <w:rStyle w:val="InternetLink"/>
                  <w:rFonts w:ascii="Times New Roman;serif" w:hAnsi="Times New Roman;serif"/>
                  <w:b w:val="false"/>
                  <w:strike w:val="false"/>
                  <w:dstrike w:val="false"/>
                  <w:color w:val="000000"/>
                  <w:sz w:val="20"/>
                  <w:u w:val="none"/>
                  <w:effect w:val="none"/>
                </w:rPr>
                <w:t>Mine Safety D</w:t>
              </w:r>
            </w:hyperlink>
            <w:r>
              <w:rPr>
                <w:rFonts w:ascii="Times New Roman;serif" w:hAnsi="Times New Roman;serif"/>
                <w:b w:val="false"/>
                <w:color w:val="000000"/>
                <w:sz w:val="20"/>
              </w:rPr>
              <w:t>isclosures</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39">
              <w:r>
                <w:rPr>
                  <w:rStyle w:val="InternetLink"/>
                  <w:rFonts w:ascii="Times New Roman;serif" w:hAnsi="Times New Roman;serif"/>
                  <w:b w:val="false"/>
                  <w:strike w:val="false"/>
                  <w:dstrike w:val="false"/>
                  <w:color w:val="000000"/>
                  <w:sz w:val="20"/>
                  <w:u w:val="none"/>
                  <w:effect w:val="none"/>
                </w:rPr>
                <w:t>30</w:t>
              </w:r>
            </w:hyperlink>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5: </w:t>
            </w:r>
            <w:hyperlink w:anchor="ia01bf250c3ab4798812658116b208717_142">
              <w:r>
                <w:rPr>
                  <w:rStyle w:val="InternetLink"/>
                  <w:rFonts w:ascii="Times New Roman;serif" w:hAnsi="Times New Roman;serif"/>
                  <w:b w:val="false"/>
                  <w:strike w:val="false"/>
                  <w:dstrike w:val="false"/>
                  <w:color w:val="000000"/>
                  <w:sz w:val="20"/>
                  <w:u w:val="none"/>
                  <w:effect w:val="none"/>
                </w:rPr>
                <w:t>Other I</w:t>
              </w:r>
            </w:hyperlink>
            <w:r>
              <w:rPr>
                <w:rFonts w:ascii="Times New Roman;serif" w:hAnsi="Times New Roman;serif"/>
                <w:b w:val="false"/>
                <w:color w:val="000000"/>
                <w:sz w:val="20"/>
              </w:rPr>
              <w:t>nformation</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42">
              <w:r>
                <w:rPr>
                  <w:rStyle w:val="InternetLink"/>
                  <w:rFonts w:ascii="Times New Roman;serif" w:hAnsi="Times New Roman;serif"/>
                  <w:b w:val="false"/>
                  <w:strike w:val="false"/>
                  <w:dstrike w:val="false"/>
                  <w:color w:val="000000"/>
                  <w:sz w:val="20"/>
                  <w:u w:val="none"/>
                  <w:effect w:val="none"/>
                </w:rPr>
                <w:t>30</w:t>
              </w:r>
            </w:hyperlink>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Item 6: </w:t>
            </w:r>
            <w:hyperlink w:anchor="ia01bf250c3ab4798812658116b208717_145">
              <w:r>
                <w:rPr>
                  <w:rStyle w:val="InternetLink"/>
                  <w:rFonts w:ascii="Times New Roman;serif" w:hAnsi="Times New Roman;serif"/>
                  <w:b w:val="false"/>
                  <w:strike w:val="false"/>
                  <w:dstrike w:val="false"/>
                  <w:color w:val="000000"/>
                  <w:sz w:val="20"/>
                  <w:u w:val="none"/>
                  <w:effect w:val="none"/>
                </w:rPr>
                <w:t>E</w:t>
              </w:r>
            </w:hyperlink>
            <w:r>
              <w:rPr>
                <w:rFonts w:ascii="Times New Roman;serif" w:hAnsi="Times New Roman;serif"/>
                <w:b w:val="false"/>
                <w:color w:val="000000"/>
                <w:sz w:val="20"/>
              </w:rPr>
              <w:t>xhibits</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45">
              <w:r>
                <w:rPr>
                  <w:rStyle w:val="InternetLink"/>
                  <w:rFonts w:ascii="Times New Roman;serif" w:hAnsi="Times New Roman;serif"/>
                  <w:b w:val="false"/>
                  <w:strike w:val="false"/>
                  <w:dstrike w:val="false"/>
                  <w:color w:val="000000"/>
                  <w:sz w:val="20"/>
                  <w:u w:val="none"/>
                  <w:effect w:val="none"/>
                </w:rPr>
                <w:t>30</w:t>
              </w:r>
            </w:hyperlink>
          </w:p>
        </w:tc>
      </w:tr>
      <w:tr>
        <w:trPr/>
        <w:tc>
          <w:tcPr>
            <w:tcW w:w="9193"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01bf250c3ab4798812658116b208717_148">
              <w:r>
                <w:rPr>
                  <w:rStyle w:val="InternetLink"/>
                  <w:rFonts w:ascii="Times New Roman;serif" w:hAnsi="Times New Roman;serif"/>
                  <w:b/>
                  <w:strike w:val="false"/>
                  <w:dstrike w:val="false"/>
                  <w:color w:val="000000"/>
                  <w:sz w:val="20"/>
                  <w:u w:val="none"/>
                  <w:effect w:val="none"/>
                </w:rPr>
                <w:t>S</w:t>
              </w:r>
            </w:hyperlink>
            <w:r>
              <w:rPr>
                <w:rFonts w:ascii="Times New Roman;serif" w:hAnsi="Times New Roman;serif"/>
                <w:b/>
                <w:color w:val="000000"/>
                <w:sz w:val="20"/>
              </w:rPr>
              <w:t>ignatures</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01bf250c3ab4798812658116b208717_148">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37185"/>
                <wp:effectExtent l="0" t="0" r="0" b="0"/>
                <wp:wrapNone/>
                <wp:docPr id="2" name="Frame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unless context otherwise requires or where otherwise indicated, the terms “X4,” “we,”</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us,” “our,” and the “Company,” refer to X4 Pharmaceuticals, Inc. and its subsidiaries. 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plans, objectives, goals, strategies, future events, future operations, future financial position, future revenues or performance, projected costs, prospects, expectations, plans or intentions relating to clinical development, product candidates, the regulatory approval process, products and markets, and business trends and other information referred to in the sections titled “Risk Factors” and “Management’s Discussion and Analysis of Financial Condition and Results of Operations,” are forward-looking statements. In some cases,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and actual results or events could differ materially from the plans, intentions and expectations disclosed in these forward-looking statements. These forward-looking statements are subject to a number of known and unknown risks, uncertainties and assumptions, including risks described in the section titled “Risk Factors” and elsewhere in this report, regarding, among other things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4" w:before="0" w:after="0"/>
        <w:ind w:left="0" w:right="0" w:hanging="720"/>
        <w:jc w:val="left"/>
        <w:rPr/>
      </w:pPr>
      <w:r>
        <w:rPr>
          <w:color w:val="000000"/>
        </w:rPr>
        <w:t>•</w:t>
      </w:r>
      <w:r>
        <w:rPr>
          <w:rFonts w:ascii="Times New Roman;serif" w:hAnsi="Times New Roman;serif"/>
          <w:b w:val="false"/>
          <w:color w:val="000000"/>
          <w:sz w:val="20"/>
        </w:rPr>
        <w:t>our ability to raise additional capital or achieve sufficient revenue to properly fund our business and operating plan as well as our ability to continue as a going concern;</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expectations and goals for commercialization of XOLREMDI</w:t>
      </w:r>
      <w:r>
        <w:rPr>
          <w:rFonts w:ascii="Times New Roman;serif" w:hAnsi="Times New Roman;serif"/>
          <w:b w:val="false"/>
          <w:color w:val="000000"/>
          <w:sz w:val="13"/>
        </w:rPr>
        <w:t xml:space="preserve">® </w:t>
      </w:r>
      <w:r>
        <w:rPr>
          <w:rFonts w:ascii="Times New Roman;serif" w:hAnsi="Times New Roman;serif"/>
          <w:b w:val="false"/>
          <w:color w:val="000000"/>
          <w:sz w:val="20"/>
        </w:rPr>
        <w:t>(mavorixafor), which has been approved for use as an oral, once-daily therapy to increase the number of circulating mature neutrophils and lymphocytes in patients 12 years of age and older with WHIM (warts, hypogammaglobulinemia, infections, and myelokathexis) syndrome in the U.S., and that XOLREMDI, our one product approved for commercial sale, upon which we depend almost entirely to produce revenue, faces an unknown market size and growth potential, and we have not generated significant revenue from product sales to date, and we may never achieve profitability;    </w:t>
      </w:r>
    </w:p>
    <w:p>
      <w:pPr>
        <w:pStyle w:val="TextBody"/>
        <w:bidi w:val="0"/>
        <w:spacing w:before="0" w:after="0"/>
        <w:ind w:left="0" w:right="0" w:hanging="360"/>
        <w:jc w:val="left"/>
        <w:rPr/>
      </w:pPr>
      <w:r>
        <w:rPr/>
      </w:r>
    </w:p>
    <w:p>
      <w:pPr>
        <w:pStyle w:val="TextBody"/>
        <w:bidi w:val="0"/>
        <w:spacing w:lineRule="auto" w:line="264" w:before="0" w:after="0"/>
        <w:ind w:left="0" w:right="0" w:hanging="720"/>
        <w:jc w:val="left"/>
        <w:rPr/>
      </w:pPr>
      <w:r>
        <w:rPr>
          <w:color w:val="000000"/>
        </w:rPr>
        <w:t>•</w:t>
      </w:r>
      <w:r>
        <w:rPr>
          <w:rFonts w:ascii="Times New Roman;serif" w:hAnsi="Times New Roman;serif"/>
          <w:b w:val="false"/>
          <w:color w:val="000000"/>
          <w:sz w:val="20"/>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the potential benefits, including clinical utility, that may be derived from XOLREMDI or any of our product candidates;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the timing of and our ability to obtain and maintain regulatory approval of our existing product XOLREMDI or any product candidates that we may develop in the future, and any related restrictions, limitations, or warnings in the label of any approved product candidates;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plans to research, develop, manufacture and commercialize XOLREMDI or our product candidates;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the timing of our regulatory filings for our product candidates, along with regulatory developments in the United States and other foreign countries;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 xml:space="preserve">the size and growth potential of the markets for XOLREMDI and our product candidates, if approved, and the rate and degree of market acceptance of XOLREMDI and our product candidates, including reimbursement that may be received from payors; </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the benefits of U.S. Food and Drug Administration (“FDA”) and European Commission designations, including, without limitation, Fast Track, Orphan Drug and Breakthrough Therapy;</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commercialization, marketing and manufacturing capabilities and strategy;</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ability to attract and retain qualified employees and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7185"/>
                <wp:effectExtent l="0" t="0" r="0" b="0"/>
                <wp:wrapNone/>
                <wp:docPr id="3" name="Frame3"/>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competitive position and the development of and projections relating to our competitors or our industry;</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expectations regarding our ability to obtain and maintain intellectual property protection;</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estimates and expectations regarding future operations, financial position, revenues, costs, expenses, uses of cash, capital requirements or our need for additional financing;</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plans to in-license, acquire, develop and commercialize additional product candidates;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the impact of laws and regulations;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plans to identify additional product candidates with significant commercial potential that are consistent with our commercial objectives;</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our strategies, prospects, plans, expectations or objectives; and</w:t>
      </w:r>
    </w:p>
    <w:p>
      <w:pPr>
        <w:pStyle w:val="TextBody"/>
        <w:bidi w:val="0"/>
        <w:spacing w:lineRule="auto" w:line="264" w:before="120" w:after="283"/>
        <w:ind w:left="0" w:right="0" w:hanging="720"/>
        <w:jc w:val="left"/>
        <w:rPr/>
      </w:pPr>
      <w:r>
        <w:rPr>
          <w:color w:val="000000"/>
        </w:rPr>
        <w:t>•</w:t>
      </w:r>
      <w:r>
        <w:rPr>
          <w:rFonts w:ascii="Times New Roman;serif" w:hAnsi="Times New Roman;serif"/>
          <w:b w:val="false"/>
          <w:color w:val="000000"/>
          <w:sz w:val="20"/>
        </w:rPr>
        <w:t>other risks and uncertainties, including those listed under the section titled “Risk Factors” in this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refer to the section titled “Risk Factors” in Part I, Item 1A, “Risk Factors” of our Annual Report on Form 10-K for the year ended December 31, 2025 for a discussion of important factors that may cause our actual results to differ materially from those expressed or implied by our forward-looking statements. As a result of these factors, we cannot assure you that the forward-looking statements in this Quarterly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Quarterly Report.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7185"/>
                <wp:effectExtent l="0" t="0" r="0" b="0"/>
                <wp:wrapNone/>
                <wp:docPr id="4" name="Frame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10"/>
        <w:gridCol w:w="2261"/>
        <w:gridCol w:w="2270"/>
        <w:gridCol w:w="202"/>
        <w:gridCol w:w="759"/>
        <w:gridCol w:w="112"/>
        <w:gridCol w:w="109"/>
        <w:gridCol w:w="109"/>
        <w:gridCol w:w="109"/>
        <w:gridCol w:w="227"/>
        <w:gridCol w:w="855"/>
        <w:gridCol w:w="182"/>
      </w:tblGrid>
      <w:tr>
        <w:trPr/>
        <w:tc>
          <w:tcPr>
            <w:tcW w:w="301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261,577 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253,063 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290,461 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25,757 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including accretion, net of discount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 liability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97,609 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104,171 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and no shares issued and outstanding as of June 30, 2026 and December 31, 2025,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500,000,000 shares authorized as of June 30, 2026 and December 31, 2025, respectively; 96,114,534 and 90,906,920 shares issued and outstanding as of June 30, 2026 and December 31, 2025,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(594,554)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155,454 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186,290 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253,063 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290,461 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center"/>
        <w:rPr/>
      </w:pPr>
      <w:r>
        <w:rPr/>
      </w:r>
    </w:p>
    <w:p>
      <w:pPr>
        <w:pStyle w:val="TextBody"/>
        <w:bidi w:val="0"/>
        <w:spacing w:before="120" w:after="283"/>
        <w:ind w:left="0" w:right="0" w:firstLine="720"/>
        <w:jc w:val="center"/>
        <w:rPr/>
      </w:pPr>
      <w:r>
        <w:rPr/>
      </w:r>
    </w:p>
    <w:p>
      <w:pPr>
        <w:pStyle w:val="TextBody"/>
        <w:bidi w:val="0"/>
        <w:spacing w:lineRule="auto" w:line="288" w:before="120" w:after="283"/>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7185"/>
                <wp:effectExtent l="0" t="0" r="0" b="0"/>
                <wp:wrapNone/>
                <wp:docPr id="5" name="Frame5"/>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6"/>
        <w:gridCol w:w="1354"/>
        <w:gridCol w:w="1358"/>
        <w:gridCol w:w="264"/>
        <w:gridCol w:w="922"/>
        <w:gridCol w:w="109"/>
        <w:gridCol w:w="109"/>
        <w:gridCol w:w="109"/>
        <w:gridCol w:w="109"/>
        <w:gridCol w:w="211"/>
        <w:gridCol w:w="790"/>
        <w:gridCol w:w="109"/>
        <w:gridCol w:w="109"/>
        <w:gridCol w:w="109"/>
        <w:gridCol w:w="109"/>
        <w:gridCol w:w="264"/>
        <w:gridCol w:w="922"/>
        <w:gridCol w:w="109"/>
        <w:gridCol w:w="109"/>
        <w:gridCol w:w="109"/>
        <w:gridCol w:w="109"/>
        <w:gridCol w:w="211"/>
        <w:gridCol w:w="790"/>
        <w:gridCol w:w="155"/>
      </w:tblGrid>
      <w:tr>
        <w:trPr/>
        <w:tc>
          <w:tcPr>
            <w:tcW w:w="165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126,344,020 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7,412,990 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126,316,523 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7,095,846 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on marketable debt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(25,475)</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7185"/>
                <wp:effectExtent l="0" t="0" r="0" b="0"/>
                <wp:wrapNone/>
                <wp:docPr id="6" name="Frame6"/>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6"/>
        <w:gridCol w:w="711"/>
        <w:gridCol w:w="713"/>
        <w:gridCol w:w="435"/>
        <w:gridCol w:w="436"/>
        <w:gridCol w:w="171"/>
        <w:gridCol w:w="109"/>
        <w:gridCol w:w="109"/>
        <w:gridCol w:w="109"/>
        <w:gridCol w:w="204"/>
        <w:gridCol w:w="252"/>
        <w:gridCol w:w="115"/>
        <w:gridCol w:w="109"/>
        <w:gridCol w:w="109"/>
        <w:gridCol w:w="109"/>
        <w:gridCol w:w="196"/>
        <w:gridCol w:w="736"/>
        <w:gridCol w:w="109"/>
        <w:gridCol w:w="109"/>
        <w:gridCol w:w="109"/>
        <w:gridCol w:w="109"/>
        <w:gridCol w:w="386"/>
        <w:gridCol w:w="857"/>
        <w:gridCol w:w="215"/>
        <w:gridCol w:w="109"/>
        <w:gridCol w:w="109"/>
        <w:gridCol w:w="109"/>
        <w:gridCol w:w="196"/>
        <w:gridCol w:w="773"/>
        <w:gridCol w:w="109"/>
        <w:gridCol w:w="109"/>
        <w:gridCol w:w="109"/>
        <w:gridCol w:w="109"/>
        <w:gridCol w:w="196"/>
        <w:gridCol w:w="646"/>
        <w:gridCol w:w="158"/>
      </w:tblGrid>
      <w:tr>
        <w:trPr/>
        <w:tc>
          <w:tcPr>
            <w:tcW w:w="9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5,698,231 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5,788,745 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the sale of common stock, less discounts </w:t>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2,140,729 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5,984 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7,959,947 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(540,814)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7185"/>
                <wp:effectExtent l="0" t="0" r="0" b="0"/>
                <wp:wrapNone/>
                <wp:docPr id="7" name="Frame7"/>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76"/>
        <w:gridCol w:w="625"/>
        <w:gridCol w:w="627"/>
        <w:gridCol w:w="480"/>
        <w:gridCol w:w="481"/>
        <w:gridCol w:w="171"/>
        <w:gridCol w:w="109"/>
        <w:gridCol w:w="109"/>
        <w:gridCol w:w="109"/>
        <w:gridCol w:w="196"/>
        <w:gridCol w:w="331"/>
        <w:gridCol w:w="109"/>
        <w:gridCol w:w="109"/>
        <w:gridCol w:w="109"/>
        <w:gridCol w:w="109"/>
        <w:gridCol w:w="196"/>
        <w:gridCol w:w="736"/>
        <w:gridCol w:w="109"/>
        <w:gridCol w:w="109"/>
        <w:gridCol w:w="109"/>
        <w:gridCol w:w="109"/>
        <w:gridCol w:w="363"/>
        <w:gridCol w:w="807"/>
        <w:gridCol w:w="203"/>
        <w:gridCol w:w="109"/>
        <w:gridCol w:w="109"/>
        <w:gridCol w:w="109"/>
        <w:gridCol w:w="196"/>
        <w:gridCol w:w="769"/>
        <w:gridCol w:w="109"/>
        <w:gridCol w:w="109"/>
        <w:gridCol w:w="109"/>
        <w:gridCol w:w="109"/>
        <w:gridCol w:w="213"/>
        <w:gridCol w:w="802"/>
        <w:gridCol w:w="171"/>
      </w:tblGrid>
      <w:tr>
        <w:trPr/>
        <w:tc>
          <w:tcPr>
            <w:tcW w:w="87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Equity</w:t>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7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90,906,920 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(594,554)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186,290 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94,319,696 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168,450 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24,420 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96,114,534 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786,433 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(630,952)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155,454 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7185"/>
                <wp:effectExtent l="0" t="0" r="0" b="0"/>
                <wp:wrapNone/>
                <wp:docPr id="8" name="Frame8"/>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9998" w:type="dxa"/>
        <w:jc w:val="center"/>
        <w:tblInd w:w="0" w:type="dxa"/>
        <w:tblLayout w:type="fixed"/>
        <w:tblCellMar>
          <w:top w:w="28" w:type="dxa"/>
          <w:left w:w="28" w:type="dxa"/>
          <w:bottom w:w="28" w:type="dxa"/>
          <w:right w:w="28" w:type="dxa"/>
        </w:tblCellMar>
      </w:tblPr>
      <w:tblGrid>
        <w:gridCol w:w="2738"/>
        <w:gridCol w:w="2401"/>
        <w:gridCol w:w="2420"/>
        <w:gridCol w:w="196"/>
        <w:gridCol w:w="736"/>
        <w:gridCol w:w="109"/>
        <w:gridCol w:w="109"/>
        <w:gridCol w:w="109"/>
        <w:gridCol w:w="109"/>
        <w:gridCol w:w="196"/>
        <w:gridCol w:w="721"/>
        <w:gridCol w:w="154"/>
      </w:tblGrid>
      <w:tr>
        <w:trPr/>
        <w:tc>
          <w:tcPr>
            <w:tcW w:w="2738"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other current and non-current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shares of common stock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shares of common stock, less issuance costs, and exercise of pre-funded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7185"/>
                <wp:effectExtent l="0" t="0" r="0" b="0"/>
                <wp:wrapNone/>
                <wp:docPr id="9" name="Frame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X4 Pharmaceuticals Inc., together with its subsidiaries (the “Company”), is a biopharmaceutical company developing and commercializing novel therapeutics for the treatment of rare hematology diseases. The Company’s primary asset, mavorixafor, has received accelerated approval in the United States from the U.S. Food and Drug Administration (“FDA”) for use as an oral, once-daily therapy in patients 12 years of age and older with WHIM (warts, hypogammaglobulinemia, infections, and myelokathexis) syndrome, to increase the number of circulating mature neutrophils and lymphocytes. In addition, the European Commission has granted marketing authorization for mavorixafor capsules for the treatment of patients with WHIM syndrome in the European Union.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continues to progress its global, pivotal, 52-week Phase 3 clinical trial, (the “4WARD” trial) to evaluate the efficacy, safety, and tolerability of oral, once-daily mavorixafor (with or without stable doses of granulocyte colony-stimulating factor (“G-CSF”)) in people with congenital, acquired primary autoimmune, or idiopathic chronic neutropenia (“CN”) who are experiencing recurrent and/or serious infections.</w:t>
      </w:r>
      <w:r>
        <w:rPr>
          <w:color w:val="000000"/>
          <w:shd w:fill="FFFFFF" w:val="clear"/>
        </w:rPr>
        <w:t xml:space="preserve"> </w:t>
      </w:r>
      <w:r>
        <w:rPr>
          <w:rFonts w:ascii="Times New Roman;serif" w:hAnsi="Times New Roman;serif"/>
          <w:b w:val="false"/>
          <w:color w:val="000000"/>
          <w:sz w:val="20"/>
        </w:rPr>
        <w:t>CN is defined as periods lasting more than three months persistently or intermittently where there are abnormally low levels of neutrophils circulating in the blood, and may be idiopathic (of unknown origin), cyclic (episodes typically occurring every three weeks), or congenital (of genetic causation). CN disorders are rare blood conditions similarly characterized by increased risks of infections and cancer due to abnormally low levels of neutrophils in the body. In all cases, the CXCL12/CXCR4 pathway is the key regulator of neutrophil release from the bone marrow. Fast Track designation has been granted by the FDA to mavorixafor for the treatment of CN.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for the three and six months ended June 30, 2026 and 2025, respectively have been prepared in accordance with accounting principles generally accepted in the U.S. for interim financial information and with the instructions to the Quarterly Report on Form 10-Q and Article 10 of Regulation S-X. Accordingly,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In the opinion of management, all adjustments, consisting only of normal recurring adjustments as necessary, for the fair statement of the Company’s condensed financial position, condensed results of its operations and cash flows have been made. Operating results for the three and six months ended June 30, 2026 are not necessarily indicative of the results that may be expected for the entire year or for any other subsequent interim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interim condensed consolidated financial statements should be read in conjunction with the Company’s audited financial statements and the notes thereto for the year ended December 31, 2025 included in its Annual Report on Form 10-K filed with the Securities and Exchange Commission (“SEC”) on March 17, 2026. The condensed consolidated balance sheet at December 31, 2025 that is presented in these interim condensed consolidated financial statements was derived from audited financial statements but does not include all disclosures required by GAAP. </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including X4 Pharmaceuticals (Austria) GmbH, which is incorporated in Vienna, Austria, and X4 Therapeutics, Inc. All intercompany accounts and transactions have been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the accrual of research and development expenses, the accrual of operational and financial license milestones, the accrual of reserves for variable consideration related to product revenue, and the impairment or lack of impairment of long-lived assets including operating lease right-of-use assets and goodwill.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As of the date of issuance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7185"/>
                <wp:effectExtent l="0" t="0" r="0" b="0"/>
                <wp:wrapNone/>
                <wp:docPr id="10" name="Frame10"/>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 Although the Company has an approved drug product, licensing and sales of the Company’s drug product over the next 12 months will not be sufficient to fund the Company’s operating expenses. Since inception, the Company has incurred significant operating losses and negative cash flows from operations, and the Company expects to continue to generate operating losses and negative cash flows from operations for the foreseeable future. For the six months ended June 30, 2026, the Company’s net loss was $36.4 million and net cash used in operating activities was $40.4 million. As of June 30, 2026, the Company had $208.0 million of cash, cash equivalents and short-term marketable securities, and an accumulated deficit of $631.0 million. </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its current operating plan, the Company believes (a) that its current cash, cash equivalents and short-term marketable securities will be sufficient to fund its operations and debt obligations for at least the next 12 months and (b) it will continue to comply with all covenants under the Hercules Loan Agreement, as defined and further described in Note 9, through at least the 12-month period from the issuance date of these condensed consolidated financial statements. </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companies in the biopharmaceutical industry including, but not limited to, uncertainties relating to conducting preclinical and clinical research and development, the manufacture and supply of products and product candidates for clinical and commercial use, obtaining and maintaining regulatory approvals and pricing and reimbursement for its products and product candidates, market acceptance, managing global growth and operating expenses, availability of additional capital, competition, obtaining and enforcing patents, stock price volatility, dependence on collaborative relationships and third-party service providers, dependence on key personnel, and from time to time government investigations, litigation, and potential product liability claims.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the audited consolidated financial statements and the notes thereto in the Company’s Annual Report on Form 10-K for the year ended December 31, 2025 filed with the SEC on March 17, 2026. Since the date of those consolidated financial statements, there have been no material changes to the Company’s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Cash</w:t>
      </w:r>
    </w:p>
    <w:tbl>
      <w:tblPr>
        <w:tblW w:w="7616" w:type="dxa"/>
        <w:jc w:val="left"/>
        <w:tblInd w:w="0" w:type="dxa"/>
        <w:tblLayout w:type="fixed"/>
        <w:tblCellMar>
          <w:top w:w="28" w:type="dxa"/>
          <w:left w:w="28" w:type="dxa"/>
          <w:bottom w:w="28" w:type="dxa"/>
          <w:right w:w="28" w:type="dxa"/>
        </w:tblCellMar>
      </w:tblPr>
      <w:tblGrid>
        <w:gridCol w:w="1367"/>
        <w:gridCol w:w="1205"/>
        <w:gridCol w:w="1208"/>
        <w:gridCol w:w="415"/>
        <w:gridCol w:w="916"/>
        <w:gridCol w:w="214"/>
        <w:gridCol w:w="109"/>
        <w:gridCol w:w="109"/>
        <w:gridCol w:w="109"/>
        <w:gridCol w:w="498"/>
        <w:gridCol w:w="1101"/>
        <w:gridCol w:w="365"/>
      </w:tblGrid>
      <w:tr>
        <w:trPr/>
        <w:tc>
          <w:tcPr>
            <w:tcW w:w="136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security: Vienna Austria lease</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security: Boston lease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security: Watertown lease</w:t>
            </w:r>
          </w:p>
        </w:tc>
        <w:tc>
          <w:tcPr>
            <w:tcW w:w="133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lease agreements for its facilities in Boston and Watertown, Massachusetts, the Company maintains letters of credit, which are secured by restricted cash, for the benefit of the respective landlords. As of December 31, 2025, restricted cash related to the Company’s former Vienna, Austria lease, which the Company terminated effective November 30, 2025, was included in other current assets and was subsequently converted to unrestricted cash during the six months ended June 30, 2026. Restricted cash related to the Boston and Watertown lease are included in other current assets and other assets,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Company’s Hercules Loan Agreement, the Company at all times must maintain a minimum level of cash of $15.0 million in an account or accounts in which Hercules has a first priority security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7185"/>
                <wp:effectExtent l="0" t="0" r="0" b="0"/>
                <wp:wrapNone/>
                <wp:docPr id="11" name="Frame11"/>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of amounts shown in the Company’s condensed consolidated statements of cash flows as of June 30, 2026 and December 31, 2025:</w:t>
      </w:r>
    </w:p>
    <w:tbl>
      <w:tblPr>
        <w:tblW w:w="10205" w:type="dxa"/>
        <w:jc w:val="left"/>
        <w:tblInd w:w="0" w:type="dxa"/>
        <w:tblLayout w:type="fixed"/>
        <w:tblCellMar>
          <w:top w:w="28" w:type="dxa"/>
          <w:left w:w="28" w:type="dxa"/>
          <w:bottom w:w="28" w:type="dxa"/>
          <w:right w:w="28" w:type="dxa"/>
        </w:tblCellMar>
      </w:tblPr>
      <w:tblGrid>
        <w:gridCol w:w="2443"/>
        <w:gridCol w:w="2154"/>
        <w:gridCol w:w="2159"/>
        <w:gridCol w:w="211"/>
        <w:gridCol w:w="826"/>
        <w:gridCol w:w="109"/>
        <w:gridCol w:w="109"/>
        <w:gridCol w:w="109"/>
        <w:gridCol w:w="109"/>
        <w:gridCol w:w="275"/>
        <w:gridCol w:w="1077"/>
        <w:gridCol w:w="141"/>
        <w:gridCol w:w="109"/>
        <w:gridCol w:w="109"/>
        <w:gridCol w:w="109"/>
        <w:gridCol w:w="156"/>
      </w:tblGrid>
      <w:tr>
        <w:trPr/>
        <w:tc>
          <w:tcPr>
            <w:tcW w:w="244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217,049 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 (included within 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217,852 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equivalents consisted of money market funds invested in U.S. Treasury securities. The money market funds were valued based on quoted prices in active markets for identical assets, which represents a Level 1 measurement. All marketable securities are classified as short-term investments as all are due within one year and include investments in U.S. Treasury notes, U.S. Treasury bills and federal government agency notes. The amortized cost of each investment, individually and in aggregate, approximated fair value. The Company has evaluated each marketable security for impairment that is other-than-temporary and concluded that no marketable security was impaired as of June 30, 2026 and December 31, 2025. </w:t>
      </w:r>
    </w:p>
    <w:p>
      <w:pPr>
        <w:pStyle w:val="TextBody"/>
        <w:bidi w:val="0"/>
        <w:spacing w:before="60" w:after="283"/>
        <w:jc w:val="left"/>
        <w:rPr/>
      </w:pPr>
      <w:r>
        <w:rPr/>
      </w:r>
    </w:p>
    <w:tbl>
      <w:tblPr>
        <w:tblW w:w="9824" w:type="dxa"/>
        <w:jc w:val="left"/>
        <w:tblInd w:w="0" w:type="dxa"/>
        <w:tblLayout w:type="fixed"/>
        <w:tblCellMar>
          <w:top w:w="28" w:type="dxa"/>
          <w:left w:w="28" w:type="dxa"/>
          <w:bottom w:w="28" w:type="dxa"/>
          <w:right w:w="28" w:type="dxa"/>
        </w:tblCellMar>
      </w:tblPr>
      <w:tblGrid>
        <w:gridCol w:w="1710"/>
        <w:gridCol w:w="1507"/>
        <w:gridCol w:w="1522"/>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 Using:</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securities—federal government agency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847"/>
        <w:gridCol w:w="1628"/>
        <w:gridCol w:w="1644"/>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5"/>
      </w:tblGrid>
      <w:tr>
        <w:trPr/>
        <w:tc>
          <w:tcPr>
            <w:tcW w:w="184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 Using:</w:t>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securities—U.S. Treasury notes, U.S. Treasury bills, and federal government agency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amortized cost, unrealized gains and losses and the carrying amount of available-for-sale debt marketable securities as of June 30, 2026:</w:t>
      </w:r>
    </w:p>
    <w:tbl>
      <w:tblPr>
        <w:tblW w:w="10205" w:type="dxa"/>
        <w:jc w:val="left"/>
        <w:tblInd w:w="0" w:type="dxa"/>
        <w:tblLayout w:type="fixed"/>
        <w:tblCellMar>
          <w:top w:w="28" w:type="dxa"/>
          <w:left w:w="28" w:type="dxa"/>
          <w:bottom w:w="28" w:type="dxa"/>
          <w:right w:w="28" w:type="dxa"/>
        </w:tblCellMar>
      </w:tblPr>
      <w:tblGrid>
        <w:gridCol w:w="1175"/>
        <w:gridCol w:w="1033"/>
        <w:gridCol w:w="1036"/>
        <w:gridCol w:w="251"/>
        <w:gridCol w:w="861"/>
        <w:gridCol w:w="129"/>
        <w:gridCol w:w="109"/>
        <w:gridCol w:w="109"/>
        <w:gridCol w:w="109"/>
        <w:gridCol w:w="524"/>
        <w:gridCol w:w="1011"/>
        <w:gridCol w:w="273"/>
        <w:gridCol w:w="109"/>
        <w:gridCol w:w="109"/>
        <w:gridCol w:w="109"/>
        <w:gridCol w:w="673"/>
        <w:gridCol w:w="815"/>
        <w:gridCol w:w="351"/>
        <w:gridCol w:w="109"/>
        <w:gridCol w:w="109"/>
        <w:gridCol w:w="109"/>
        <w:gridCol w:w="211"/>
        <w:gridCol w:w="721"/>
        <w:gridCol w:w="160"/>
      </w:tblGrid>
      <w:tr>
        <w:trPr/>
        <w:tc>
          <w:tcPr>
            <w:tcW w:w="117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Government Agency securities</w:t>
            </w:r>
          </w:p>
        </w:tc>
        <w:tc>
          <w:tcPr>
            <w:tcW w:w="11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12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7185"/>
                <wp:effectExtent l="0" t="0" r="0" b="0"/>
                <wp:wrapNone/>
                <wp:docPr id="12" name="Frame1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amortized cost, unrealized gains and losses and the carrying amount of available-for-sale debt marketable securities as of December 31, 2025:</w:t>
      </w:r>
    </w:p>
    <w:tbl>
      <w:tblPr>
        <w:tblW w:w="10205" w:type="dxa"/>
        <w:jc w:val="left"/>
        <w:tblInd w:w="0" w:type="dxa"/>
        <w:tblLayout w:type="fixed"/>
        <w:tblCellMar>
          <w:top w:w="28" w:type="dxa"/>
          <w:left w:w="28" w:type="dxa"/>
          <w:bottom w:w="28" w:type="dxa"/>
          <w:right w:w="28" w:type="dxa"/>
        </w:tblCellMar>
      </w:tblPr>
      <w:tblGrid>
        <w:gridCol w:w="1176"/>
        <w:gridCol w:w="1032"/>
        <w:gridCol w:w="1035"/>
        <w:gridCol w:w="251"/>
        <w:gridCol w:w="861"/>
        <w:gridCol w:w="129"/>
        <w:gridCol w:w="109"/>
        <w:gridCol w:w="109"/>
        <w:gridCol w:w="109"/>
        <w:gridCol w:w="559"/>
        <w:gridCol w:w="958"/>
        <w:gridCol w:w="292"/>
        <w:gridCol w:w="109"/>
        <w:gridCol w:w="109"/>
        <w:gridCol w:w="109"/>
        <w:gridCol w:w="533"/>
        <w:gridCol w:w="1028"/>
        <w:gridCol w:w="278"/>
        <w:gridCol w:w="109"/>
        <w:gridCol w:w="109"/>
        <w:gridCol w:w="109"/>
        <w:gridCol w:w="211"/>
        <w:gridCol w:w="721"/>
        <w:gridCol w:w="160"/>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12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Government Agency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35,939 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Measured at Fair Value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liabilities measured at fair value on a recurring basis and indicate the level of the fair value hierarchy used to determine such fair values:</w:t>
      </w:r>
    </w:p>
    <w:tbl>
      <w:tblPr>
        <w:tblW w:w="6615" w:type="dxa"/>
        <w:jc w:val="left"/>
        <w:tblInd w:w="0" w:type="dxa"/>
        <w:tblLayout w:type="fixed"/>
        <w:tblCellMar>
          <w:top w:w="28" w:type="dxa"/>
          <w:left w:w="28" w:type="dxa"/>
          <w:bottom w:w="28" w:type="dxa"/>
          <w:right w:w="28" w:type="dxa"/>
        </w:tblCellMar>
      </w:tblPr>
      <w:tblGrid>
        <w:gridCol w:w="928"/>
        <w:gridCol w:w="817"/>
        <w:gridCol w:w="820"/>
        <w:gridCol w:w="211"/>
        <w:gridCol w:w="406"/>
        <w:gridCol w:w="109"/>
        <w:gridCol w:w="109"/>
        <w:gridCol w:w="109"/>
        <w:gridCol w:w="109"/>
        <w:gridCol w:w="211"/>
        <w:gridCol w:w="406"/>
        <w:gridCol w:w="109"/>
        <w:gridCol w:w="109"/>
        <w:gridCol w:w="109"/>
        <w:gridCol w:w="109"/>
        <w:gridCol w:w="211"/>
        <w:gridCol w:w="466"/>
        <w:gridCol w:w="109"/>
        <w:gridCol w:w="109"/>
        <w:gridCol w:w="109"/>
        <w:gridCol w:w="109"/>
        <w:gridCol w:w="211"/>
        <w:gridCol w:w="4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 Using: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Class C warrant liability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6910" w:type="dxa"/>
        <w:jc w:val="left"/>
        <w:tblInd w:w="0" w:type="dxa"/>
        <w:tblLayout w:type="fixed"/>
        <w:tblCellMar>
          <w:top w:w="28" w:type="dxa"/>
          <w:left w:w="28" w:type="dxa"/>
          <w:bottom w:w="28" w:type="dxa"/>
          <w:right w:w="28" w:type="dxa"/>
        </w:tblCellMar>
      </w:tblPr>
      <w:tblGrid>
        <w:gridCol w:w="928"/>
        <w:gridCol w:w="817"/>
        <w:gridCol w:w="820"/>
        <w:gridCol w:w="226"/>
        <w:gridCol w:w="436"/>
        <w:gridCol w:w="117"/>
        <w:gridCol w:w="117"/>
        <w:gridCol w:w="117"/>
        <w:gridCol w:w="117"/>
        <w:gridCol w:w="226"/>
        <w:gridCol w:w="436"/>
        <w:gridCol w:w="117"/>
        <w:gridCol w:w="117"/>
        <w:gridCol w:w="117"/>
        <w:gridCol w:w="117"/>
        <w:gridCol w:w="226"/>
        <w:gridCol w:w="500"/>
        <w:gridCol w:w="117"/>
        <w:gridCol w:w="117"/>
        <w:gridCol w:w="117"/>
        <w:gridCol w:w="117"/>
        <w:gridCol w:w="226"/>
        <w:gridCol w:w="500"/>
        <w:gridCol w:w="165"/>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 Using: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w:t>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warrant liability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for the six months ended June 30, 2026 of the aggregate fair values of financial instruments for which fair values are determined using Level 3 inputs:</w:t>
      </w:r>
    </w:p>
    <w:tbl>
      <w:tblPr>
        <w:tblW w:w="9060" w:type="dxa"/>
        <w:jc w:val="left"/>
        <w:tblInd w:w="0" w:type="dxa"/>
        <w:tblLayout w:type="fixed"/>
        <w:tblCellMar>
          <w:top w:w="28" w:type="dxa"/>
          <w:left w:w="28" w:type="dxa"/>
          <w:bottom w:w="28" w:type="dxa"/>
          <w:right w:w="28" w:type="dxa"/>
        </w:tblCellMar>
      </w:tblPr>
      <w:tblGrid>
        <w:gridCol w:w="1020"/>
        <w:gridCol w:w="899"/>
        <w:gridCol w:w="901"/>
        <w:gridCol w:w="718"/>
        <w:gridCol w:w="1231"/>
        <w:gridCol w:w="376"/>
        <w:gridCol w:w="109"/>
        <w:gridCol w:w="109"/>
        <w:gridCol w:w="109"/>
        <w:gridCol w:w="109"/>
        <w:gridCol w:w="109"/>
        <w:gridCol w:w="535"/>
        <w:gridCol w:w="1183"/>
        <w:gridCol w:w="276"/>
        <w:gridCol w:w="109"/>
        <w:gridCol w:w="109"/>
        <w:gridCol w:w="109"/>
        <w:gridCol w:w="211"/>
        <w:gridCol w:w="466"/>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Embedded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pPr>
      <w:r>
        <w:rPr>
          <w:rFonts w:ascii="Times New Roman;serif" w:hAnsi="Times New Roman;serif"/>
          <w:b/>
          <w:i/>
          <w:color w:val="000000"/>
          <w:sz w:val="20"/>
        </w:rPr>
        <w:t>Valuation of Embedded Derivative Liability</w:t>
      </w:r>
      <w:r>
        <w:rPr>
          <w:color w:val="000000"/>
        </w:rPr>
        <w:t xml:space="preserve">— </w:t>
      </w:r>
      <w:r>
        <w:rPr>
          <w:rFonts w:ascii="Times New Roman;serif" w:hAnsi="Times New Roman;serif"/>
          <w:b w:val="false"/>
          <w:color w:val="000000"/>
          <w:sz w:val="20"/>
          <w:shd w:fill="FFFFFF" w:val="clear"/>
        </w:rPr>
        <w:t>The fair value of the embedded derivative liability recognized in connection with the Company’s Hercules Loan Agreement, which is associated with additional fees due to Hercules upon non-credit related events of default, was determined based on significant inputs not observable in the market, which represents a Level 3 measurement within the fair value hierarchy. The fair value of this embedded derivative liability, which is reported within other non-current liabilities on the condensed consolidated balance sheets, is estimated by the Company at each reporting date based, in part, on the results of third-party valuations, which were prepared based on a discounted cash flow model that considered the timing and probability of occurrence of a redemption upon an event of default, the potential amount of prepayment fees or contingent interest upon an event of default and the Company’s risk-adjusted discount rate of</w:t>
      </w:r>
      <w:r>
        <w:rPr>
          <w:color w:val="000000"/>
        </w:rPr>
        <w:t xml:space="preserve"> </w:t>
      </w:r>
      <w:r>
        <w:rPr>
          <w:rFonts w:ascii="Times New Roman;serif" w:hAnsi="Times New Roman;serif"/>
          <w:b w:val="false"/>
          <w:color w:val="000000"/>
          <w:sz w:val="20"/>
        </w:rPr>
        <w:t>17%.</w:t>
      </w:r>
      <w:r>
        <w:rPr>
          <w:color w:val="000000"/>
          <w:shd w:fill="FFFFFF" w:val="clear"/>
        </w:rPr>
        <w:t xml:space="preserve"> </w:t>
      </w:r>
      <w:r>
        <w:rPr>
          <w:rFonts w:ascii="Times New Roman;serif" w:hAnsi="Times New Roman;serif"/>
          <w:b w:val="false"/>
          <w:color w:val="000000"/>
          <w:sz w:val="20"/>
        </w:rPr>
        <w:t xml:space="preserve">As of June 30, 2026 and December 31, 2025, the fair value of this derivative liability was $10 thousand. </w:t>
      </w:r>
    </w:p>
    <w:p>
      <w:pPr>
        <w:pStyle w:val="TextBody"/>
        <w:bidi w:val="0"/>
        <w:spacing w:before="4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7185"/>
                <wp:effectExtent l="0" t="0" r="0" b="0"/>
                <wp:wrapNone/>
                <wp:docPr id="13" name="Frame13"/>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20"/>
          <w:shd w:fill="FFFFFF" w:val="clear"/>
        </w:rPr>
        <w:t xml:space="preserve">Class C Warrant Liability— </w:t>
      </w:r>
      <w:r>
        <w:rPr>
          <w:rFonts w:ascii="Times New Roman;serif" w:hAnsi="Times New Roman;serif"/>
          <w:b w:val="false"/>
          <w:color w:val="000000"/>
          <w:sz w:val="20"/>
          <w:shd w:fill="FFFFFF" w:val="clear"/>
        </w:rPr>
        <w:t xml:space="preserve">In December 2022, the Company issued Class C warrants (“Class C Warrants”) for the purchase of shares of its common stock in a public offering. The Class C Warrants are accounted for as a liability on the condensed consolidated balance sheet and are adjusted to fair value at period end through “change in fair value of warrant liability” on the condensed consolidated statements of operations and comprehensive (loss) income.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calculated the fair value of the Class C Warrants using the Black-Scholes option pricing model, with the following inputs:</w:t>
      </w:r>
    </w:p>
    <w:tbl>
      <w:tblPr>
        <w:tblW w:w="5576" w:type="dxa"/>
        <w:jc w:val="left"/>
        <w:tblInd w:w="0" w:type="dxa"/>
        <w:tblLayout w:type="fixed"/>
        <w:tblCellMar>
          <w:top w:w="28" w:type="dxa"/>
          <w:left w:w="28" w:type="dxa"/>
          <w:bottom w:w="28" w:type="dxa"/>
          <w:right w:w="28" w:type="dxa"/>
        </w:tblCellMar>
      </w:tblPr>
      <w:tblGrid>
        <w:gridCol w:w="771"/>
        <w:gridCol w:w="676"/>
        <w:gridCol w:w="682"/>
        <w:gridCol w:w="109"/>
        <w:gridCol w:w="109"/>
        <w:gridCol w:w="109"/>
        <w:gridCol w:w="373"/>
        <w:gridCol w:w="249"/>
        <w:gridCol w:w="626"/>
        <w:gridCol w:w="109"/>
        <w:gridCol w:w="109"/>
        <w:gridCol w:w="109"/>
        <w:gridCol w:w="314"/>
        <w:gridCol w:w="314"/>
        <w:gridCol w:w="917"/>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Net Loss Per Share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common share is calculated based on net loss divided by the weighted average number of shares outstanding for the period. The calculation of diluted loss per common share excludes the impact of potential common stock as their inclusion would be to reduce net loss per common share and are thus antidilutive.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w:t>
      </w:r>
    </w:p>
    <w:tbl>
      <w:tblPr>
        <w:tblW w:w="10205" w:type="dxa"/>
        <w:jc w:val="left"/>
        <w:tblInd w:w="0" w:type="dxa"/>
        <w:tblLayout w:type="fixed"/>
        <w:tblCellMar>
          <w:top w:w="28" w:type="dxa"/>
          <w:left w:w="28" w:type="dxa"/>
          <w:bottom w:w="28" w:type="dxa"/>
          <w:right w:w="28" w:type="dxa"/>
        </w:tblCellMar>
      </w:tblPr>
      <w:tblGrid>
        <w:gridCol w:w="1477"/>
        <w:gridCol w:w="1226"/>
        <w:gridCol w:w="1230"/>
        <w:gridCol w:w="264"/>
        <w:gridCol w:w="922"/>
        <w:gridCol w:w="109"/>
        <w:gridCol w:w="109"/>
        <w:gridCol w:w="109"/>
        <w:gridCol w:w="109"/>
        <w:gridCol w:w="211"/>
        <w:gridCol w:w="788"/>
        <w:gridCol w:w="109"/>
        <w:gridCol w:w="109"/>
        <w:gridCol w:w="109"/>
        <w:gridCol w:w="109"/>
        <w:gridCol w:w="264"/>
        <w:gridCol w:w="922"/>
        <w:gridCol w:w="109"/>
        <w:gridCol w:w="109"/>
        <w:gridCol w:w="109"/>
        <w:gridCol w:w="109"/>
        <w:gridCol w:w="211"/>
        <w:gridCol w:w="788"/>
        <w:gridCol w:w="109"/>
        <w:gridCol w:w="109"/>
        <w:gridCol w:w="109"/>
        <w:gridCol w:w="109"/>
        <w:gridCol w:w="158"/>
      </w:tblGrid>
      <w:tr>
        <w:trPr/>
        <w:tc>
          <w:tcPr>
            <w:tcW w:w="147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weighted average shares of common stock outstanding for the three and six months ended June 30, 2026 and 2025 includes the weighted average effect of pre-funded warrants for the purchase of shares of common stock, for which the remaining unfunded exercise price is less than or equal to $0.03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excluded the following potential shares of common stock from the computation of diluted net loss per share for the periods indicated because including them would have had an anti-dilutive effect:</w:t>
      </w:r>
    </w:p>
    <w:tbl>
      <w:tblPr>
        <w:tblW w:w="10205" w:type="dxa"/>
        <w:jc w:val="left"/>
        <w:tblInd w:w="0" w:type="dxa"/>
        <w:tblLayout w:type="fixed"/>
        <w:tblCellMar>
          <w:top w:w="28" w:type="dxa"/>
          <w:left w:w="28" w:type="dxa"/>
          <w:bottom w:w="28" w:type="dxa"/>
          <w:right w:w="28" w:type="dxa"/>
        </w:tblCellMar>
      </w:tblPr>
      <w:tblGrid>
        <w:gridCol w:w="1927"/>
        <w:gridCol w:w="1692"/>
        <w:gridCol w:w="1701"/>
        <w:gridCol w:w="500"/>
        <w:gridCol w:w="235"/>
        <w:gridCol w:w="175"/>
        <w:gridCol w:w="175"/>
        <w:gridCol w:w="175"/>
        <w:gridCol w:w="175"/>
        <w:gridCol w:w="331"/>
        <w:gridCol w:w="285"/>
        <w:gridCol w:w="175"/>
        <w:gridCol w:w="109"/>
        <w:gridCol w:w="109"/>
        <w:gridCol w:w="109"/>
        <w:gridCol w:w="464"/>
        <w:gridCol w:w="257"/>
        <w:gridCol w:w="166"/>
        <w:gridCol w:w="166"/>
        <w:gridCol w:w="166"/>
        <w:gridCol w:w="166"/>
        <w:gridCol w:w="396"/>
        <w:gridCol w:w="224"/>
        <w:gridCol w:w="166"/>
        <w:gridCol w:w="161"/>
      </w:tblGrid>
      <w:tr>
        <w:trPr/>
        <w:tc>
          <w:tcPr>
            <w:tcW w:w="192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shares of common stock</w:t>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Warrants to purchase shares of common stock (excluding prefunded warrants, which are included in basic shares outstanding)</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6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 (Topic 220)</w:t>
      </w:r>
      <w:r>
        <w:rPr>
          <w:color w:val="000000"/>
        </w:rPr>
        <w:t xml:space="preserve"> </w:t>
      </w:r>
      <w:r>
        <w:rPr>
          <w:rFonts w:ascii="Times New Roman;serif" w:hAnsi="Times New Roman;serif"/>
          <w:b w:val="false"/>
          <w:color w:val="000000"/>
          <w:sz w:val="20"/>
        </w:rPr>
        <w:t xml:space="preserve">(“ASU 2024-03”, or “DISE”) requiring that public business entities disclose additional information about specific expense categories in the notes to financial statements at interim and annual reporting periods. The amendments in DISE are effective for annual reporting periods beginning after December 15, 2026, and interim reporting periods beginning after December 15, 2027.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7185"/>
                <wp:effectExtent l="0" t="0" r="0" b="0"/>
                <wp:wrapNone/>
                <wp:docPr id="14" name="Frame1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disclosure requirements may be applied either prospectively to financial statements issued for reporting periods after the effective date or retrospectively to any or all prior periods presented in the financial statements. Although the Company continues to evaluate the impact of the future adoption of ASU 2024-03 to its consolidated financial statements, the Company anticipates that it will adopt ASU 2024-03 prospectively as of its fiscal year ended December 31, 2027 and that such adoption will result in an additional footnote disclosure to the consolidated financial statements that will include further details of specific line items on its consolidated statement of operations. </w:t>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Strategic Restructuring Liability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2025, the Company implemented two strategic restructuring actions designed to sharpen operational focus and align resources with the Company’s long</w:t>
        <w:noBreakHyphen/>
        <w:t>term strategy to successfully complete the 4WARD trial in patients with moderate and severe CN. These strategic restructuring actions resulted in an approximately 65% reduction in employee headcount.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liability recognized in connection with severance benefits incurred under strategic restructuring initiatives:</w:t>
      </w:r>
    </w:p>
    <w:tbl>
      <w:tblPr>
        <w:tblW w:w="10205" w:type="dxa"/>
        <w:jc w:val="left"/>
        <w:tblInd w:w="0" w:type="dxa"/>
        <w:tblLayout w:type="fixed"/>
        <w:tblCellMar>
          <w:top w:w="28" w:type="dxa"/>
          <w:left w:w="28" w:type="dxa"/>
          <w:bottom w:w="28" w:type="dxa"/>
          <w:right w:w="28" w:type="dxa"/>
        </w:tblCellMar>
      </w:tblPr>
      <w:tblGrid>
        <w:gridCol w:w="3369"/>
        <w:gridCol w:w="2776"/>
        <w:gridCol w:w="2751"/>
        <w:gridCol w:w="109"/>
        <w:gridCol w:w="109"/>
        <w:gridCol w:w="109"/>
        <w:gridCol w:w="211"/>
        <w:gridCol w:w="616"/>
        <w:gridCol w:w="155"/>
      </w:tblGrid>
      <w:tr>
        <w:trPr/>
        <w:tc>
          <w:tcPr>
            <w:tcW w:w="336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employee-related expenses (of which $86 is included in general and administrative expense and $149 is included in 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 (included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rFonts w:ascii="Times New Roman;serif" w:hAnsi="Times New Roman;serif"/>
          <w:b/>
          <w:color w:val="000000"/>
          <w:sz w:val="20"/>
        </w:rPr>
      </w:pPr>
      <w:r>
        <w:rPr>
          <w:rFonts w:ascii="Times New Roman;serif" w:hAnsi="Times New Roman;serif"/>
          <w:b/>
          <w:color w:val="000000"/>
          <w:sz w:val="20"/>
        </w:rPr>
        <w:t>3.    License Agreements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4 “License Agreements and Funding Arrangements” to the consolidated financial statements contained in the Company’s Annual Report on Form 10-K for a description of the Company’s license agreements. There have been no changes to license agreements and funding arrangements for the six months ended June 30, 2026, except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Under the Company’s license agreement with Genzyme (the “Genzyme Agreement”), the Company is obligated to make milestone payments contingent upon the achievement of certain regulatory and sales milestones with respect to licensed products. During the three and six</w:t>
      </w:r>
      <w:r>
        <w:rPr>
          <w:color w:val="000000"/>
        </w:rPr>
        <w:t xml:space="preserve"> </w:t>
      </w:r>
      <w:r>
        <w:rPr>
          <w:rFonts w:ascii="Times New Roman;serif" w:hAnsi="Times New Roman;serif"/>
          <w:b w:val="false"/>
          <w:color w:val="000000"/>
          <w:sz w:val="20"/>
        </w:rPr>
        <w:t>months ended June 30, 2026</w:t>
      </w:r>
      <w:r>
        <w:rPr>
          <w:rFonts w:ascii="Times New Roman;serif" w:hAnsi="Times New Roman;serif"/>
          <w:b w:val="false"/>
          <w:color w:val="000000"/>
          <w:sz w:val="20"/>
          <w:shd w:fill="FFFFFF" w:val="clear"/>
        </w:rPr>
        <w:t xml:space="preserve">, a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regulatory milestone was paid after receipt of the European Medicines Agency’s (“EMA”) validation of the Company’s Marketing Authorisation Application (“MAA”) for processing. The payment was recorded as a definite-lived intangible asset.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is obligated to make future one-time sales milestone payments of</w:t>
      </w:r>
      <w:r>
        <w:rPr>
          <w:color w:val="000000"/>
        </w:rPr>
        <w:t xml:space="preserve">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shd w:fill="FFFFFF" w:val="clear"/>
        </w:rPr>
        <w:t xml:space="preserve">on cumulative net sales of </w:t>
      </w:r>
      <w:r>
        <w:rPr>
          <w:rFonts w:ascii="Times New Roman;serif" w:hAnsi="Times New Roman;serif"/>
          <w:b w:val="false"/>
          <w:color w:val="000000"/>
          <w:sz w:val="20"/>
        </w:rPr>
        <w:t>$50.0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$150.0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$300.0 million</w:t>
      </w:r>
      <w:r>
        <w:rPr>
          <w:rFonts w:ascii="Times New Roman;serif" w:hAnsi="Times New Roman;serif"/>
          <w:b w:val="false"/>
          <w:color w:val="000000"/>
          <w:sz w:val="20"/>
          <w:shd w:fill="FFFFFF" w:val="clear"/>
        </w:rPr>
        <w:t xml:space="preserve">, respectively.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accrued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of sales-based milestones as a component of the definite-lived intangible asset, as management has concluded that the achievement of this milestone is probable.</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net revenue of $2.4 million and $4.8 million, respectively for the sale of the Company’s drug product in the U.S. Net product revenue was $1.7 million and $2.7 million for the three and six months ended June 30,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7185"/>
                <wp:effectExtent l="0" t="0" r="0" b="0"/>
                <wp:wrapNone/>
                <wp:docPr id="15" name="Frame15"/>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balances and activity in each of the product reserve accounts for the six months ended June 30, 2026.</w:t>
      </w:r>
    </w:p>
    <w:tbl>
      <w:tblPr>
        <w:tblW w:w="10205" w:type="dxa"/>
        <w:jc w:val="left"/>
        <w:tblInd w:w="0" w:type="dxa"/>
        <w:tblLayout w:type="fixed"/>
        <w:tblCellMar>
          <w:top w:w="28" w:type="dxa"/>
          <w:left w:w="28" w:type="dxa"/>
          <w:bottom w:w="28" w:type="dxa"/>
          <w:right w:w="28" w:type="dxa"/>
        </w:tblCellMar>
      </w:tblPr>
      <w:tblGrid>
        <w:gridCol w:w="1817"/>
        <w:gridCol w:w="1575"/>
        <w:gridCol w:w="1560"/>
        <w:gridCol w:w="341"/>
        <w:gridCol w:w="756"/>
        <w:gridCol w:w="179"/>
        <w:gridCol w:w="109"/>
        <w:gridCol w:w="109"/>
        <w:gridCol w:w="109"/>
        <w:gridCol w:w="334"/>
        <w:gridCol w:w="643"/>
        <w:gridCol w:w="173"/>
        <w:gridCol w:w="109"/>
        <w:gridCol w:w="109"/>
        <w:gridCol w:w="109"/>
        <w:gridCol w:w="312"/>
        <w:gridCol w:w="534"/>
        <w:gridCol w:w="161"/>
        <w:gridCol w:w="109"/>
        <w:gridCol w:w="109"/>
        <w:gridCol w:w="109"/>
        <w:gridCol w:w="211"/>
        <w:gridCol w:w="466"/>
        <w:gridCol w:w="162"/>
      </w:tblGrid>
      <w:tr>
        <w:trPr/>
        <w:tc>
          <w:tcPr>
            <w:tcW w:w="181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Rebates and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Co-Pay Assistance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at December 31, 2025</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revenue associated with sales processed in the six month period ended June 30, 2026</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 and payments made during the period</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contractual discounts provided to the Company’s customer is recorded as a reduction of accounts receivable. The provisions for co-pay assistance payments, contractual rebates and product returns are classified within accrued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accounts receivable for the six months ended June 30, 2026.</w:t>
      </w:r>
    </w:p>
    <w:p>
      <w:pPr>
        <w:pStyle w:val="TextBody"/>
        <w:bidi w:val="0"/>
        <w:spacing w:before="0" w:after="0"/>
        <w:jc w:val="left"/>
        <w:rPr/>
      </w:pPr>
      <w:r>
        <w:rPr/>
      </w:r>
    </w:p>
    <w:tbl>
      <w:tblPr>
        <w:tblW w:w="6074" w:type="dxa"/>
        <w:jc w:val="left"/>
        <w:tblInd w:w="0" w:type="dxa"/>
        <w:tblLayout w:type="fixed"/>
        <w:tblCellMar>
          <w:top w:w="28" w:type="dxa"/>
          <w:left w:w="28" w:type="dxa"/>
          <w:bottom w:w="28" w:type="dxa"/>
          <w:right w:w="28" w:type="dxa"/>
        </w:tblCellMar>
      </w:tblPr>
      <w:tblGrid>
        <w:gridCol w:w="1606"/>
        <w:gridCol w:w="1415"/>
        <w:gridCol w:w="1419"/>
        <w:gridCol w:w="351"/>
        <w:gridCol w:w="1027"/>
        <w:gridCol w:w="256"/>
      </w:tblGrid>
      <w:tr>
        <w:trPr/>
        <w:tc>
          <w:tcPr>
            <w:tcW w:w="16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at December 31, 2025</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 for drug product sales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for cash collections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i/>
          <w:color w:val="000000"/>
          <w:sz w:val="20"/>
        </w:rPr>
        <w:t>License and Other</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During the first quarter of 2025, the Company entered into a license and supply agreement (the “Norgine Agreement”) with Norgine Pharma UK Ltd. (“Norgine”). The Company analyzed the activities required under the Norgine Agreement and concluded that the arrangement was indicative of a vendor-customer relationship and would be accounted for under ASC 606. To date, the Company has received a one-time, non-refundable, up-front payment of €28.5 million, and </w:t>
      </w:r>
      <w:r>
        <w:rPr>
          <w:rFonts w:ascii="Times New Roman;serif" w:hAnsi="Times New Roman;serif"/>
          <w:b w:val="false"/>
          <w:color w:val="000000"/>
          <w:sz w:val="20"/>
          <w:shd w:fill="FFFFFF" w:val="clear"/>
        </w:rPr>
        <w:t xml:space="preserve">regulatory milestone payments of </w:t>
      </w:r>
      <w:r>
        <w:rPr>
          <w:color w:val="000000"/>
        </w:rPr>
        <w:t>€</w:t>
      </w:r>
      <w:r>
        <w:rPr>
          <w:rFonts w:ascii="Times New Roman;serif" w:hAnsi="Times New Roman;serif"/>
          <w:b w:val="false"/>
          <w:color w:val="000000"/>
          <w:sz w:val="20"/>
        </w:rPr>
        <w:t>5.5 million</w:t>
      </w:r>
      <w:r>
        <w:rPr>
          <w:rFonts w:ascii="Times New Roman;serif" w:hAnsi="Times New Roman;serif"/>
          <w:b w:val="false"/>
          <w:color w:val="000000"/>
          <w:sz w:val="20"/>
          <w:shd w:fill="FFFFFF" w:val="clear"/>
        </w:rPr>
        <w:t xml:space="preserve">, including a €5.0 million regulatory milestone achieved in the second quarter of 2026. The one-time upfront payment and regulatory milestone payments are included in the transaction price. All other future regulatory-based milestone payments, which represent variable consideration, have been fully constrained as these are not yet considered probable. The Company has also excluded from the transaction price future royalty payments that are based on units sold by Norgine and future cumulative revenue-based milestone payments under the applicable practical expedient.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Norgine Agreement, the Company’s promises include a) the delivery of a license, b) research and development services for certain components of WHIM clinical studies, c) research and development services for the global Phase 3 trial of XOLREMDI for CN, and d) the option for delivery of commercial and early access drug supply.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allocation of transaction price to the performance obligations under the Norgine Agreement based on the weighting of estimated stand-alone selling price for these performance obligations at the inception of the agreement. </w:t>
      </w:r>
    </w:p>
    <w:p>
      <w:pPr>
        <w:pStyle w:val="TextBody"/>
        <w:bidi w:val="0"/>
        <w:spacing w:before="0" w:after="0"/>
        <w:ind w:left="0" w:right="0" w:firstLine="720"/>
        <w:jc w:val="left"/>
        <w:rPr/>
      </w:pPr>
      <w:r>
        <w:rPr/>
      </w:r>
    </w:p>
    <w:tbl>
      <w:tblPr>
        <w:tblW w:w="9730" w:type="dxa"/>
        <w:jc w:val="left"/>
        <w:tblInd w:w="0" w:type="dxa"/>
        <w:tblLayout w:type="fixed"/>
        <w:tblCellMar>
          <w:top w:w="28" w:type="dxa"/>
          <w:left w:w="28" w:type="dxa"/>
          <w:bottom w:w="28" w:type="dxa"/>
          <w:right w:w="28" w:type="dxa"/>
        </w:tblCellMar>
      </w:tblPr>
      <w:tblGrid>
        <w:gridCol w:w="1324"/>
        <w:gridCol w:w="1166"/>
        <w:gridCol w:w="1169"/>
        <w:gridCol w:w="109"/>
        <w:gridCol w:w="109"/>
        <w:gridCol w:w="109"/>
        <w:gridCol w:w="109"/>
        <w:gridCol w:w="109"/>
        <w:gridCol w:w="466"/>
        <w:gridCol w:w="483"/>
        <w:gridCol w:w="1652"/>
        <w:gridCol w:w="249"/>
        <w:gridCol w:w="109"/>
        <w:gridCol w:w="109"/>
        <w:gridCol w:w="109"/>
        <w:gridCol w:w="211"/>
        <w:gridCol w:w="616"/>
        <w:gridCol w:w="109"/>
        <w:gridCol w:w="109"/>
        <w:gridCol w:w="109"/>
        <w:gridCol w:w="109"/>
        <w:gridCol w:w="211"/>
        <w:gridCol w:w="72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Allocation of Transaction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Recognized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349" w:type="dxa"/>
            <w:gridSpan w:val="9"/>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 Obligation: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63" w:type="dxa"/>
            <w:gridSpan w:val="6"/>
            <w:tcBorders/>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33,096 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services: WHIM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services: CN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35,534 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product supply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7185"/>
                <wp:effectExtent l="0" t="0" r="0" b="0"/>
                <wp:wrapNone/>
                <wp:docPr id="16" name="Frame16"/>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deferred revenue six months ended June 30, 2026.</w:t>
      </w:r>
    </w:p>
    <w:p>
      <w:pPr>
        <w:pStyle w:val="TextBody"/>
        <w:bidi w:val="0"/>
        <w:spacing w:before="0" w:after="0"/>
        <w:jc w:val="left"/>
        <w:rPr/>
      </w:pPr>
      <w:r>
        <w:rPr/>
      </w:r>
    </w:p>
    <w:tbl>
      <w:tblPr>
        <w:tblW w:w="7829" w:type="dxa"/>
        <w:jc w:val="left"/>
        <w:tblInd w:w="0" w:type="dxa"/>
        <w:tblLayout w:type="fixed"/>
        <w:tblCellMar>
          <w:top w:w="28" w:type="dxa"/>
          <w:left w:w="28" w:type="dxa"/>
          <w:bottom w:w="28" w:type="dxa"/>
          <w:right w:w="28" w:type="dxa"/>
        </w:tblCellMar>
      </w:tblPr>
      <w:tblGrid>
        <w:gridCol w:w="2306"/>
        <w:gridCol w:w="2031"/>
        <w:gridCol w:w="2037"/>
        <w:gridCol w:w="313"/>
        <w:gridCol w:w="914"/>
        <w:gridCol w:w="228"/>
      </w:tblGrid>
      <w:tr>
        <w:trPr/>
        <w:tc>
          <w:tcPr>
            <w:tcW w:w="230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at December 31, 2025</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allocation of milestone transaction price to development services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for revenue recognized</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deferred revenue related to the Norgine Agreement was $1.4 million, of which $0.8 million was current.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4421" w:type="dxa"/>
        <w:jc w:val="left"/>
        <w:tblInd w:w="0" w:type="dxa"/>
        <w:tblLayout w:type="fixed"/>
        <w:tblCellMar>
          <w:top w:w="28" w:type="dxa"/>
          <w:left w:w="28" w:type="dxa"/>
          <w:bottom w:w="28" w:type="dxa"/>
          <w:right w:w="28" w:type="dxa"/>
        </w:tblCellMar>
      </w:tblPr>
      <w:tblGrid>
        <w:gridCol w:w="516"/>
        <w:gridCol w:w="454"/>
        <w:gridCol w:w="455"/>
        <w:gridCol w:w="253"/>
        <w:gridCol w:w="741"/>
        <w:gridCol w:w="131"/>
        <w:gridCol w:w="109"/>
        <w:gridCol w:w="109"/>
        <w:gridCol w:w="109"/>
        <w:gridCol w:w="332"/>
        <w:gridCol w:w="970"/>
        <w:gridCol w:w="242"/>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727" w:type="dxa"/>
        <w:jc w:val="left"/>
        <w:tblInd w:w="0" w:type="dxa"/>
        <w:tblLayout w:type="fixed"/>
        <w:tblCellMar>
          <w:top w:w="28" w:type="dxa"/>
          <w:left w:w="28" w:type="dxa"/>
          <w:bottom w:w="28" w:type="dxa"/>
          <w:right w:w="28" w:type="dxa"/>
        </w:tblCellMar>
      </w:tblPr>
      <w:tblGrid>
        <w:gridCol w:w="986"/>
        <w:gridCol w:w="869"/>
        <w:gridCol w:w="875"/>
        <w:gridCol w:w="302"/>
        <w:gridCol w:w="667"/>
        <w:gridCol w:w="156"/>
        <w:gridCol w:w="109"/>
        <w:gridCol w:w="109"/>
        <w:gridCol w:w="109"/>
        <w:gridCol w:w="392"/>
        <w:gridCol w:w="866"/>
        <w:gridCol w:w="287"/>
      </w:tblGrid>
      <w:tr>
        <w:trPr/>
        <w:tc>
          <w:tcPr>
            <w:tcW w:w="9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was approximately $71 thousand and $457 thousand for the six months ended June 30, 2026 and 2025,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net definite-lived intangible asset is comprised of the capitalization of certain milestone payments made or accrued related to its license agreement for the intellectual property contained in its drug product. As of June 30, 2026 and December 31, 2025, net definite-lived intangible assets included a gross intangible asset of </w:t>
      </w:r>
      <w:r>
        <w:rPr>
          <w:rFonts w:ascii="Times New Roman;serif" w:hAnsi="Times New Roman;serif"/>
          <w:b w:val="false"/>
          <w:color w:val="000000"/>
          <w:sz w:val="20"/>
        </w:rPr>
        <w:t>$15.5 million and $10.5 million, respectively, less accumulated amortization of $2.4 million and $1.3 million, respectively, for a net intangible asset of $13.1 million and $9.3 million, respectively</w:t>
      </w:r>
      <w:r>
        <w:rPr>
          <w:rFonts w:ascii="Times New Roman;serif" w:hAnsi="Times New Roman;serif"/>
          <w:b w:val="false"/>
          <w:color w:val="000000"/>
          <w:sz w:val="20"/>
          <w:shd w:fill="FFFFFF" w:val="clear"/>
        </w:rPr>
        <w:t xml:space="preserve">. The Company amortizes the intangible asset to cost of revenue over the remaining life of the underlying patent protecting the intellectual property through 2038.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7185"/>
                <wp:effectExtent l="0" t="0" r="0" b="0"/>
                <wp:wrapNone/>
                <wp:docPr id="17" name="Frame17"/>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amortization expense for the next five years and beyond is summarized as follows (in thousands):</w:t>
      </w:r>
    </w:p>
    <w:p>
      <w:pPr>
        <w:pStyle w:val="TextBody"/>
        <w:bidi w:val="0"/>
        <w:spacing w:before="0" w:after="0"/>
        <w:jc w:val="both"/>
        <w:rPr/>
      </w:pPr>
      <w:r>
        <w:rPr/>
      </w:r>
    </w:p>
    <w:tbl>
      <w:tblPr>
        <w:tblW w:w="4049" w:type="dxa"/>
        <w:jc w:val="left"/>
        <w:tblInd w:w="0" w:type="dxa"/>
        <w:tblLayout w:type="fixed"/>
        <w:tblCellMar>
          <w:top w:w="28" w:type="dxa"/>
          <w:left w:w="28" w:type="dxa"/>
          <w:bottom w:w="28" w:type="dxa"/>
          <w:right w:w="28" w:type="dxa"/>
        </w:tblCellMar>
      </w:tblPr>
      <w:tblGrid>
        <w:gridCol w:w="762"/>
        <w:gridCol w:w="672"/>
        <w:gridCol w:w="681"/>
        <w:gridCol w:w="375"/>
        <w:gridCol w:w="1284"/>
        <w:gridCol w:w="275"/>
      </w:tblGrid>
      <w:tr>
        <w:trPr/>
        <w:tc>
          <w:tcPr>
            <w:tcW w:w="76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 expense</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16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13,101 </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Company began amortizing its finite-lived intangible assets in April 2024 over a 14-year period based on the expected patent exclusivity period for XOLREMDI. </w:t>
      </w:r>
      <w:r>
        <w:rPr>
          <w:rFonts w:ascii="Times New Roman;serif" w:hAnsi="Times New Roman;serif"/>
          <w:b w:val="false"/>
          <w:color w:val="000000"/>
          <w:sz w:val="20"/>
        </w:rPr>
        <w:t>Amortization expense totaled $1.0 million and $1.1 million for the three and six months ended June 30, 2026, respectively and $0.2 million and $0.4 million for the comparable prior year periods, respectively.</w:t>
      </w:r>
      <w:r>
        <w:rPr>
          <w:color w:val="000000"/>
          <w:shd w:fill="FFFFFF" w:val="clear"/>
        </w:rPr>
        <w:t xml:space="preserve"> </w:t>
      </w:r>
      <w:r>
        <w:rPr>
          <w:rFonts w:ascii="Times New Roman;serif" w:hAnsi="Times New Roman;serif"/>
          <w:b w:val="false"/>
          <w:color w:val="000000"/>
          <w:sz w:val="20"/>
          <w:shd w:fill="FFFFFF" w:val="clear"/>
        </w:rPr>
        <w:t xml:space="preserve">Amortization expense is recorded as a component of cost of revenue on the condensed consolidated statements of operations and comprehensive loss.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Accrued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6947" w:type="dxa"/>
        <w:jc w:val="left"/>
        <w:tblInd w:w="0" w:type="dxa"/>
        <w:tblLayout w:type="fixed"/>
        <w:tblCellMar>
          <w:top w:w="28" w:type="dxa"/>
          <w:left w:w="28" w:type="dxa"/>
          <w:bottom w:w="28" w:type="dxa"/>
          <w:right w:w="28" w:type="dxa"/>
        </w:tblCellMar>
      </w:tblPr>
      <w:tblGrid>
        <w:gridCol w:w="1602"/>
        <w:gridCol w:w="1412"/>
        <w:gridCol w:w="1426"/>
        <w:gridCol w:w="211"/>
        <w:gridCol w:w="721"/>
        <w:gridCol w:w="109"/>
        <w:gridCol w:w="109"/>
        <w:gridCol w:w="109"/>
        <w:gridCol w:w="109"/>
        <w:gridCol w:w="221"/>
        <w:gridCol w:w="757"/>
        <w:gridCol w:w="161"/>
      </w:tblGrid>
      <w:tr>
        <w:trPr/>
        <w:tc>
          <w:tcPr>
            <w:tcW w:w="16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external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royalty and milestone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6211" w:type="dxa"/>
        <w:jc w:val="left"/>
        <w:tblInd w:w="0" w:type="dxa"/>
        <w:tblLayout w:type="fixed"/>
        <w:tblCellMar>
          <w:top w:w="28" w:type="dxa"/>
          <w:left w:w="28" w:type="dxa"/>
          <w:bottom w:w="28" w:type="dxa"/>
          <w:right w:w="28" w:type="dxa"/>
        </w:tblCellMar>
      </w:tblPr>
      <w:tblGrid>
        <w:gridCol w:w="1340"/>
        <w:gridCol w:w="1180"/>
        <w:gridCol w:w="1184"/>
        <w:gridCol w:w="211"/>
        <w:gridCol w:w="721"/>
        <w:gridCol w:w="109"/>
        <w:gridCol w:w="109"/>
        <w:gridCol w:w="109"/>
        <w:gridCol w:w="109"/>
        <w:gridCol w:w="221"/>
        <w:gridCol w:w="757"/>
        <w:gridCol w:w="161"/>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of long-term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 net of 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accrual of end of term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Hercules Loan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party to the Second Amended and Restated Loan and Security Agreement, as amended, (the “Hercules Loan Agreement”) with Hercules Capital Inc., which provides for an aggregate term loan facility of up to $107.5 million, under which the Company has borrowed an aggregate of $75.0 million of term loans, representing the maximum borrowings allowable as of June 30, 2026. The Hercules Loan Agreement is described in Note 11 to the consolidated financial statements contained in the Company’s Annual Report on Form 10-K filed with the SEC on March 17,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7185"/>
                <wp:effectExtent l="0" t="0" r="0" b="0"/>
                <wp:wrapNone/>
                <wp:docPr id="18" name="Frame18"/>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recognized interest expense under the Hercules Loan Agreement as follows:</w:t>
      </w:r>
    </w:p>
    <w:tbl>
      <w:tblPr>
        <w:tblW w:w="7067" w:type="dxa"/>
        <w:jc w:val="left"/>
        <w:tblInd w:w="0" w:type="dxa"/>
        <w:tblLayout w:type="fixed"/>
        <w:tblCellMar>
          <w:top w:w="28" w:type="dxa"/>
          <w:left w:w="28" w:type="dxa"/>
          <w:bottom w:w="28" w:type="dxa"/>
          <w:right w:w="28" w:type="dxa"/>
        </w:tblCellMar>
      </w:tblPr>
      <w:tblGrid>
        <w:gridCol w:w="808"/>
        <w:gridCol w:w="712"/>
        <w:gridCol w:w="71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6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annual effective interest rate on the Hercules Loan Agreement as of June 30, 2026 was 11.2%. There were no principal payments due or paid under the Hercules Loan Agreement during the three and six months ended June 30, 2026 and 2025. As of June 30, 2026, future principal and accrued end-of-term payments of $77.0 million under the Hercules Loan Agreement are due on July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lease agreement for its facility in Boston, Massachusetts, which is the Company’s principal executive office. There are no restrictions or financial covenants associated with this lease agreement. The Company had an operating lease for approximately 1,200 square meters of laboratory and office space in Vienna, Austria that commenced in February 2021 for a term of seven years. Effective November 30, 2025, the Company terminated the lease in accordance with a lease amendment entered into with the landlord. Accordingly, the Company accelerated the amortization of the right-of-use asset to zero and adjusted the remaining lease obligation to zero as of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2026, the Company entered into a lease agreement for approximately 11,000 square feet of office space in a building located in Watertown, Massachusetts (the “Watertown Lease”). The office space will replace the Company’s current headquarters located in Boston, Massachusetts. The Company intends to move into the premises in late 2026 or early 2027 upon the completion of construction, which is anticipated to commence in September 2026. Monthly rent payments under the lease will commence three months following the Company obtaining access to the space. Base rental payments will be approximately $0.3 million annually, plus certain operating expenses. The term of the lease will continue for 36 months following the commencement of rent payments, unless earlier terminated in accordance with the terms of the lease. The Company has the right to sublease the premises, subject to landlord consent. The Company also has the right to renew the lease for an additional 3 years at the then prevailing effective market rental rate. The Company was required to provide the landlord with a $0.1 million letter of credit, which is classified as restricted cash.</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736"/>
        <w:gridCol w:w="1520"/>
        <w:gridCol w:w="1527"/>
        <w:gridCol w:w="315"/>
        <w:gridCol w:w="213"/>
        <w:gridCol w:w="404"/>
        <w:gridCol w:w="162"/>
        <w:gridCol w:w="162"/>
        <w:gridCol w:w="162"/>
        <w:gridCol w:w="315"/>
        <w:gridCol w:w="223"/>
        <w:gridCol w:w="408"/>
        <w:gridCol w:w="109"/>
        <w:gridCol w:w="109"/>
        <w:gridCol w:w="109"/>
        <w:gridCol w:w="299"/>
        <w:gridCol w:w="212"/>
        <w:gridCol w:w="369"/>
        <w:gridCol w:w="148"/>
        <w:gridCol w:w="148"/>
        <w:gridCol w:w="148"/>
        <w:gridCol w:w="288"/>
        <w:gridCol w:w="223"/>
        <w:gridCol w:w="408"/>
        <w:gridCol w:w="109"/>
        <w:gridCol w:w="109"/>
        <w:gridCol w:w="109"/>
        <w:gridCol w:w="161"/>
      </w:tblGrid>
      <w:tr>
        <w:trPr/>
        <w:tc>
          <w:tcPr>
            <w:tcW w:w="173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3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term—operating leases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rate—operating leases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7185"/>
                <wp:effectExtent l="0" t="0" r="0" b="0"/>
                <wp:wrapNone/>
                <wp:docPr id="19" name="Frame1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due under lease agreements that have commenced as of June 30, 2026 are as follows (in thousands):</w:t>
      </w:r>
    </w:p>
    <w:tbl>
      <w:tblPr>
        <w:tblW w:w="5160" w:type="dxa"/>
        <w:jc w:val="left"/>
        <w:tblInd w:w="0" w:type="dxa"/>
        <w:tblLayout w:type="fixed"/>
        <w:tblCellMar>
          <w:top w:w="28" w:type="dxa"/>
          <w:left w:w="28" w:type="dxa"/>
          <w:bottom w:w="28" w:type="dxa"/>
          <w:right w:w="28" w:type="dxa"/>
        </w:tblCellMar>
      </w:tblPr>
      <w:tblGrid>
        <w:gridCol w:w="1543"/>
        <w:gridCol w:w="1353"/>
        <w:gridCol w:w="1363"/>
        <w:gridCol w:w="228"/>
        <w:gridCol w:w="505"/>
        <w:gridCol w:w="168"/>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Maturity of lease liabilities</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as of June 30, 2026</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11.    Commitments and Contingencies </w:t>
      </w:r>
    </w:p>
    <w:p>
      <w:pPr>
        <w:pStyle w:val="TextBody"/>
        <w:bidi w:val="0"/>
        <w:spacing w:before="0" w:after="0"/>
        <w:ind w:left="0" w:right="0" w:hanging="90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has agreements with contract research organizations (“CROs”) pursuant to which the Company and the CROs are conducting clinical trials. The Company may terminate these agreements by providing notice pursuant to the contractual provisions of such agreements and would incur early termination fees. The Company has agreements with contract manufacturing organizations (“CMOs”) for the production of mavorixafor for use in clinical trials and for the commercial supply of XOLREMDI. The Company’s agreement with the CMO who produces batches of drug substance for use in the Company’s clinical and commercial drug supply contains cancellation provisions that would require the Company to pay up to the full contract value upon cancellation. As of June 30, 2026, the Company has approximately</w:t>
      </w:r>
      <w:r>
        <w:rPr>
          <w:color w:val="000000"/>
          <w:shd w:fill="FFFFFF" w:val="clear"/>
        </w:rPr>
        <w:t xml:space="preserve"> </w:t>
      </w:r>
      <w:r>
        <w:rPr>
          <w:rFonts w:ascii="Times New Roman;serif" w:hAnsi="Times New Roman;serif"/>
          <w:b w:val="false"/>
          <w:color w:val="000000"/>
          <w:sz w:val="20"/>
          <w:shd w:fill="FFFFFF" w:val="clear"/>
        </w:rPr>
        <w:t xml:space="preserve">$1.3 million </w:t>
      </w:r>
      <w:r>
        <w:rPr>
          <w:rFonts w:ascii="Times New Roman;serif" w:hAnsi="Times New Roman;serif"/>
          <w:b w:val="false"/>
          <w:color w:val="000000"/>
          <w:sz w:val="20"/>
        </w:rPr>
        <w:t>of such commitments in place subject to cancellation provisions.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License Agreements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5 to the Company’s Annual Report on Form 10-K filed with the SEC on March 17, 2026 for a description of licensing agreements, which commit the Company to contingent milestone and royalty fees based on future operational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Indemnification Agreements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to, among other things,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 obligations. The Company is not currently aware of any indemnification claims and has not accrued any liabilities related to such obligations in its condensed consolidated financial statements as of June 30, 2026 or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any legal proceedings.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Equity Transactions</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i/>
          <w:color w:val="000000"/>
          <w:sz w:val="20"/>
        </w:rPr>
        <w:t>ATM Sales Agreement</w:t>
      </w:r>
      <w:r>
        <w:rPr>
          <w:color w:val="000000"/>
        </w:rPr>
        <w:t xml:space="preserve"> </w:t>
      </w:r>
    </w:p>
    <w:p>
      <w:pPr>
        <w:pStyle w:val="TextBody"/>
        <w:bidi w:val="0"/>
        <w:spacing w:lineRule="auto" w:line="288" w:before="60" w:after="283"/>
        <w:jc w:val="left"/>
        <w:rPr/>
      </w:pPr>
      <w:r>
        <w:rPr>
          <w:rFonts w:ascii="Times New Roman;serif" w:hAnsi="Times New Roman;serif"/>
          <w:b w:val="false"/>
          <w:color w:val="000000"/>
          <w:sz w:val="20"/>
        </w:rPr>
        <w:t xml:space="preserve">On May 6, 2026, the Company entered into an Open Market Sale Agreement </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(“ATM”), under which it may sell up to $75.0 million of its common shares through an investment bank. Concurrently, the Company filed a registration statement on Form S-3 that registered the common shares issuable under the ATM. Through August 6, 2026 there have been no sales of common stock under the ATM. The Company terminated its previous ATM agreement on March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7185"/>
                <wp:effectExtent l="0" t="0" r="0" b="0"/>
                <wp:wrapNone/>
                <wp:docPr id="20" name="Frame20"/>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is an aggregate of approximately 2.3 million shares of common stock available for issuance under the Company’s equity incentive plans, including 0.1 million shares of common stock remaining available for issuance under the Amended and Restated 2017 Employee Stock Purchase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Option Valuation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on a weighted average basis, the assumptions used in the Black-Scholes option-pricing model to determine the grant-date fair value of stock options granted:</w:t>
      </w:r>
    </w:p>
    <w:tbl>
      <w:tblPr>
        <w:tblW w:w="7857" w:type="dxa"/>
        <w:jc w:val="left"/>
        <w:tblInd w:w="0" w:type="dxa"/>
        <w:tblLayout w:type="fixed"/>
        <w:tblCellMar>
          <w:top w:w="28" w:type="dxa"/>
          <w:left w:w="28" w:type="dxa"/>
          <w:bottom w:w="28" w:type="dxa"/>
          <w:right w:w="28" w:type="dxa"/>
        </w:tblCellMar>
      </w:tblPr>
      <w:tblGrid>
        <w:gridCol w:w="772"/>
        <w:gridCol w:w="676"/>
        <w:gridCol w:w="682"/>
        <w:gridCol w:w="308"/>
        <w:gridCol w:w="308"/>
        <w:gridCol w:w="470"/>
        <w:gridCol w:w="189"/>
        <w:gridCol w:w="189"/>
        <w:gridCol w:w="189"/>
        <w:gridCol w:w="308"/>
        <w:gridCol w:w="308"/>
        <w:gridCol w:w="470"/>
        <w:gridCol w:w="109"/>
        <w:gridCol w:w="109"/>
        <w:gridCol w:w="109"/>
        <w:gridCol w:w="308"/>
        <w:gridCol w:w="308"/>
        <w:gridCol w:w="424"/>
        <w:gridCol w:w="170"/>
        <w:gridCol w:w="170"/>
        <w:gridCol w:w="170"/>
        <w:gridCol w:w="308"/>
        <w:gridCol w:w="308"/>
        <w:gridCol w:w="495"/>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1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47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47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42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49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stock options and restricted stock units was $18.9 million, which is expected to be recognized over a weighted average period of 2.6 years.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six months ended June 30, 2026:</w:t>
      </w:r>
    </w:p>
    <w:tbl>
      <w:tblPr>
        <w:tblW w:w="9892" w:type="dxa"/>
        <w:jc w:val="left"/>
        <w:tblInd w:w="0" w:type="dxa"/>
        <w:tblLayout w:type="fixed"/>
        <w:tblCellMar>
          <w:top w:w="28" w:type="dxa"/>
          <w:left w:w="28" w:type="dxa"/>
          <w:bottom w:w="28" w:type="dxa"/>
          <w:right w:w="28" w:type="dxa"/>
        </w:tblCellMar>
      </w:tblPr>
      <w:tblGrid>
        <w:gridCol w:w="1446"/>
        <w:gridCol w:w="1268"/>
        <w:gridCol w:w="1276"/>
        <w:gridCol w:w="540"/>
        <w:gridCol w:w="541"/>
        <w:gridCol w:w="296"/>
        <w:gridCol w:w="109"/>
        <w:gridCol w:w="109"/>
        <w:gridCol w:w="109"/>
        <w:gridCol w:w="211"/>
        <w:gridCol w:w="511"/>
        <w:gridCol w:w="109"/>
        <w:gridCol w:w="109"/>
        <w:gridCol w:w="109"/>
        <w:gridCol w:w="109"/>
        <w:gridCol w:w="359"/>
        <w:gridCol w:w="359"/>
        <w:gridCol w:w="361"/>
        <w:gridCol w:w="109"/>
        <w:gridCol w:w="109"/>
        <w:gridCol w:w="109"/>
        <w:gridCol w:w="317"/>
        <w:gridCol w:w="1086"/>
        <w:gridCol w:w="231"/>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12,080,718 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(767,283)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15,333,435 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1,030,803 </w:t>
            </w:r>
          </w:p>
        </w:tc>
        <w:tc>
          <w:tcPr>
            <w:tcW w:w="2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12,858,006 </w:t>
            </w:r>
          </w:p>
        </w:tc>
        <w:tc>
          <w:tcPr>
            <w:tcW w:w="2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is calculated as the difference between the exercise price of the stock options and the fair value of the Company’s common stock to the extent the stock option had a lower exercise price. There were no options exercised for the six months ended June 30, 2026 and 2025. The weighted average grant-date fair value per share of stock options granted during the six months ended June 30, 2026 and 2025 was $3.37 and $8.13, respectively.</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restricted stock unit activity for the six months ended June 30, 2026:</w:t>
      </w:r>
    </w:p>
    <w:tbl>
      <w:tblPr>
        <w:tblW w:w="7672" w:type="dxa"/>
        <w:jc w:val="left"/>
        <w:tblInd w:w="0" w:type="dxa"/>
        <w:tblLayout w:type="fixed"/>
        <w:tblCellMar>
          <w:top w:w="28" w:type="dxa"/>
          <w:left w:w="28" w:type="dxa"/>
          <w:bottom w:w="28" w:type="dxa"/>
          <w:right w:w="28" w:type="dxa"/>
        </w:tblCellMar>
      </w:tblPr>
      <w:tblGrid>
        <w:gridCol w:w="1059"/>
        <w:gridCol w:w="930"/>
        <w:gridCol w:w="936"/>
        <w:gridCol w:w="448"/>
        <w:gridCol w:w="452"/>
        <w:gridCol w:w="296"/>
        <w:gridCol w:w="109"/>
        <w:gridCol w:w="109"/>
        <w:gridCol w:w="109"/>
        <w:gridCol w:w="693"/>
        <w:gridCol w:w="2023"/>
        <w:gridCol w:w="50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73,381 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773,016 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714,235 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restricted stock units include performance-based restricted stock units (“PRSUs”), which will vest based on the achievement of an operational milestone. The Company considers the achievement of the remaining operational milestone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7185"/>
                <wp:effectExtent l="0" t="0" r="0" b="0"/>
                <wp:wrapNone/>
                <wp:docPr id="21" name="Frame21"/>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related to outstanding PRSUs to be probable. Stock-based compensation expense has been recognized for these awards using the accelerated attribution model based on the fair value of the awards as of the date of grant and management’s best estimate of the date the probable operational milestone will be achieved. The Company updates its estimates related to the probability and timing of achievement of the operational milestones each period until the award either vests or is forfeited.</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classified in the condensed consolidated statements of operations and comprehensive loss as follows:</w:t>
      </w:r>
    </w:p>
    <w:tbl>
      <w:tblPr>
        <w:tblW w:w="8283" w:type="dxa"/>
        <w:jc w:val="left"/>
        <w:tblInd w:w="0" w:type="dxa"/>
        <w:tblLayout w:type="fixed"/>
        <w:tblCellMar>
          <w:top w:w="28" w:type="dxa"/>
          <w:left w:w="28" w:type="dxa"/>
          <w:bottom w:w="28" w:type="dxa"/>
          <w:right w:w="28" w:type="dxa"/>
        </w:tblCellMar>
      </w:tblPr>
      <w:tblGrid>
        <w:gridCol w:w="1088"/>
        <w:gridCol w:w="958"/>
        <w:gridCol w:w="968"/>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11"/>
        <w:gridCol w:w="616"/>
        <w:gridCol w:w="109"/>
        <w:gridCol w:w="109"/>
        <w:gridCol w:w="109"/>
        <w:gridCol w:w="109"/>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14.    Income Taxes </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record a material U.S. federal, state or international provision or benefit for income taxes in its condensed consolidated statement of operations and comprehensive loss for the six months ended June 30, 2026 and 2025. The Company continues to maintain a valuation allowance against all remaining net deferred tax assets. The Company believes that it is more likely than not that it will not realize a future tax benefit of these attributes as the Company expects to continue to generate operating losses. Ultimate realization of any deferred tax asset is dependent on the Company’s ability to generate sufficient future taxable income in the appropriate tax jurisdiction before the expiration of carryforward periods, if any. The Company will continue to monitor the valuation allowance assessment throughout the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15.    </w:t>
      </w:r>
      <w:r>
        <w:rPr>
          <w:rFonts w:ascii="Times New Roman;serif" w:hAnsi="Times New Roman;serif"/>
          <w:b/>
          <w:color w:val="000000"/>
          <w:sz w:val="20"/>
          <w:shd w:fill="FFFFFF" w:val="clear"/>
        </w:rPr>
        <w:t>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defined its Chief Operating Decision Maker (“CODM”) as the Executive Chairman. The CODM manages the Company’s operations as a single operating segment, which comprises its single reportable segment, for the purposes of assessing performance and making operating decisions. The Company’s focus is on the research, development and commercialization of novel therapeutics for the treatment of rare diseases. The Company’s research, development and commercialization efforts are focused on its lead molecule, mavorixafor, which is being marketed in the U.S. under the trade name XOLREMDI. The CODM uses the Company’s condensed consolidated net loss to monitor actual results as compared to forecast in assessing segment performance and allocation of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derives its revenue from the sale of XOLREMDI in the U.S. and from licensed rights and product sales of mavorixafor for other non-U.S. territories. The Company recognized $2.4 million and $4.8 million of revenue from its U.S. customer and $6.4 million and $6.7 million of revenue from a customer in the United Kingdom for the three and six months ended June 30, 2026, respectively. The Company recognized $1.7 million and $2.7 million of revenue from its U.S. customer and $0.2 million and $28.1 million of revenue from its customer in the United Kingdom for the three and six months ended June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measure of profit for the segment is net loss and consisted of the following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7185"/>
                <wp:effectExtent l="0" t="0" r="0" b="0"/>
                <wp:wrapNone/>
                <wp:docPr id="22" name="Frame2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52"/>
        <w:gridCol w:w="1619"/>
        <w:gridCol w:w="1627"/>
        <w:gridCol w:w="196"/>
        <w:gridCol w:w="689"/>
        <w:gridCol w:w="109"/>
        <w:gridCol w:w="109"/>
        <w:gridCol w:w="109"/>
        <w:gridCol w:w="109"/>
        <w:gridCol w:w="196"/>
        <w:gridCol w:w="689"/>
        <w:gridCol w:w="109"/>
        <w:gridCol w:w="109"/>
        <w:gridCol w:w="109"/>
        <w:gridCol w:w="109"/>
        <w:gridCol w:w="196"/>
        <w:gridCol w:w="689"/>
        <w:gridCol w:w="109"/>
        <w:gridCol w:w="109"/>
        <w:gridCol w:w="109"/>
        <w:gridCol w:w="109"/>
        <w:gridCol w:w="196"/>
        <w:gridCol w:w="689"/>
        <w:gridCol w:w="159"/>
      </w:tblGrid>
      <w:tr>
        <w:trPr/>
        <w:tc>
          <w:tcPr>
            <w:tcW w:w="195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 from external customers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excluding stock-based compensation, stock appreciation rights compensation expense and severance expense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Direct research and development program expenses (X4P-001, mavorixafor) </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(a)</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(measure of segment profit)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left"/>
        <w:rPr/>
      </w:pPr>
      <w:r>
        <w:rPr>
          <w:rFonts w:ascii="Times New Roman;serif" w:hAnsi="Times New Roman;serif"/>
          <w:b w:val="false"/>
          <w:color w:val="000000"/>
          <w:sz w:val="18"/>
        </w:rPr>
        <w:t>(a) Other segment items primarily include cost of revenue, non-compensation departmental costs within sales, general and administrative departments, certain unallocated external costs within research and development, stock-based compensation expense, stock appreciation rights compensation expense, severance expense</w:t>
      </w:r>
      <w:r>
        <w:rPr>
          <w:rFonts w:ascii="Times New Roman;serif" w:hAnsi="Times New Roman;serif"/>
          <w:b w:val="false"/>
          <w:color w:val="000000"/>
          <w:sz w:val="18"/>
          <w:shd w:fill="FFFFFF" w:val="clear"/>
        </w:rPr>
        <w:t xml:space="preserve">, other income (expense), </w:t>
      </w:r>
      <w:r>
        <w:rPr>
          <w:rFonts w:ascii="Times New Roman;serif" w:hAnsi="Times New Roman;serif"/>
          <w:b w:val="false"/>
          <w:color w:val="000000"/>
          <w:sz w:val="18"/>
        </w:rPr>
        <w:t xml:space="preserve">and provision for income taxes. </w: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only receives and reviews information regarding segment assets at the consolidated level. Certain other entity-wide disclosures are included elsewhere in these condensed consolidated financial statements. As of June 30, 2026, the Company’s single operating segment had long-lived assets, including property and equipment and right-of-use assets, of $0.8 million, which were located in the U.S. As of December 31, 2025, the operating segment’s long-lived assets were $1.6 million, all of which were located in the U.S.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7185"/>
                <wp:effectExtent l="0" t="0" r="0" b="0"/>
                <wp:wrapNone/>
                <wp:docPr id="23" name="Frame23"/>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our condensed consolidated financial statements and related notes in “Item 1. Financial Statements.” References in this report to “X4,” the “Company,” “we,” “our” and “us” are references to X4 Pharmaceuticals, Inc.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biopharmaceutical company developing and commercializing novel therapeutics for the treatment of rare hematology diseases. We continue to progress our global, pivotal Phase 3 clinical trial, (the “4WARD” trial) to evaluate the efficacy, safety, and tolerability of oral, once-daily mavorixafor (with or without stable doses of granulocyte colony-stimulating factor (“G-CSF”)) in people with congenital, acquired primary autoimmune, or idiopathic chronic neutropenia (“CN”) who are experiencing recurrent and/or serious infections. As part of a complete overhaul of the clinical operating infrastructure, we have transitioned management of the 4WARD trial to a premiere Clinical Research Organization (CRO) to further strengthen the study execution and support completion of enrollment. We plan to meet with the U.S. Food and Drug Administration (“FDA”) to revisit the sample size of the 4WARD trial and expect to provide an update on our meeting with the FDA and the completion of enrollment by the end of the third quarter.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to mavorixafor for the treatment of CN, which is defined as periods lasting more than three months persistently or intermittently where there are abnormally low levels of neutrophils circulating in the blood, and may be idiopathic (of unknown origin), cyclic (episodes typically occurring every three weeks), or congenital (of genetic causation). CN disorders are rare blood conditions similarly characterized by increased risks of infections and cancer due to abnormally low levels of neutrophils in the body. In all cases, the CXCL12/CXCR4 pathway is the key regulator of neutrophil release from the bone marrow.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one commercially approved product, XOLREMDI® (mavorixafor), which has received accelerated approval in the United States from the FDA for use as an oral, once-daily therapy in patients 12 years of age and older with WHIM (warts, hypogammaglobulinemia, infections, and myelokathexis) syndrome, to increase the number of circulating mature neutrophils and lymphocytes. WHIM syndrome is a rare combined primary immunodeficiency and CN disorder. We are committed to making XOLREMDI available to patients in need in the U.S. while maintaining our focus on our long-term strategy to successfully complete the 4WARD trial in patients with moderate and severe CN.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Update and Out-License Agreements</w:t>
      </w:r>
    </w:p>
    <w:p>
      <w:pPr>
        <w:pStyle w:val="TextBody"/>
        <w:bidi w:val="0"/>
        <w:spacing w:lineRule="auto" w:line="288" w:before="0" w:after="0"/>
        <w:jc w:val="left"/>
        <w:rPr/>
      </w:pPr>
      <w:r>
        <w:rPr>
          <w:rFonts w:ascii="Times New Roman;serif" w:hAnsi="Times New Roman;serif"/>
          <w:b w:val="false"/>
          <w:color w:val="000000"/>
          <w:sz w:val="20"/>
        </w:rPr>
        <w:t xml:space="preserve">In January 2025, the EMA validated for processing our Marketing Authorization Application (“MAA”) seeking regulatory approval to commercialize mavorixafor for WHIM syndrome in the European Union. On April 29, 2026, the European Commission granted marketing authorization for XOLREMDI® (mavorixafor) capsules for the treatment of patients with WHIM syndrome in the European Union. Pursuant to </w:t>
      </w:r>
      <w:r>
        <w:rPr>
          <w:rFonts w:ascii="Times New Roman;serif" w:hAnsi="Times New Roman;serif"/>
          <w:b w:val="false"/>
          <w:color w:val="000000"/>
          <w:sz w:val="20"/>
          <w:shd w:fill="FFFFFF" w:val="clear"/>
        </w:rPr>
        <w:t xml:space="preserve">our license and supply agreement </w:t>
      </w:r>
      <w:r>
        <w:rPr>
          <w:rFonts w:ascii="Times New Roman;serif" w:hAnsi="Times New Roman;serif"/>
          <w:b w:val="false"/>
          <w:color w:val="000000"/>
          <w:sz w:val="20"/>
        </w:rPr>
        <w:t>(the “Norgine Agreement”)</w:t>
      </w:r>
      <w:r>
        <w:rPr>
          <w:color w:val="000000"/>
          <w:shd w:fill="FFFFFF" w:val="clear"/>
        </w:rPr>
        <w:t xml:space="preserve"> </w:t>
      </w:r>
      <w:r>
        <w:rPr>
          <w:rFonts w:ascii="Times New Roman;serif" w:hAnsi="Times New Roman;serif"/>
          <w:b w:val="false"/>
          <w:color w:val="000000"/>
          <w:sz w:val="20"/>
        </w:rPr>
        <w:t xml:space="preserve">with Norgine Pharma UK Ltd. (“Norgine”), Norgine elected that we transfer the approved MAA to them. We completed this transfer in July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7185"/>
                <wp:effectExtent l="0" t="0" r="0" b="0"/>
                <wp:wrapNone/>
                <wp:docPr id="24" name="Frame2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results of our operations for the three and six months ended June 30, 2026 and 2025: </w:t>
      </w:r>
    </w:p>
    <w:tbl>
      <w:tblPr>
        <w:tblW w:w="9435" w:type="dxa"/>
        <w:jc w:val="left"/>
        <w:tblInd w:w="0" w:type="dxa"/>
        <w:tblLayout w:type="fixed"/>
        <w:tblCellMar>
          <w:top w:w="28" w:type="dxa"/>
          <w:left w:w="28" w:type="dxa"/>
          <w:bottom w:w="28" w:type="dxa"/>
          <w:right w:w="28" w:type="dxa"/>
        </w:tblCellMar>
      </w:tblPr>
      <w:tblGrid>
        <w:gridCol w:w="794"/>
        <w:gridCol w:w="697"/>
        <w:gridCol w:w="699"/>
        <w:gridCol w:w="196"/>
        <w:gridCol w:w="541"/>
        <w:gridCol w:w="109"/>
        <w:gridCol w:w="109"/>
        <w:gridCol w:w="109"/>
        <w:gridCol w:w="109"/>
        <w:gridCol w:w="196"/>
        <w:gridCol w:w="541"/>
        <w:gridCol w:w="109"/>
        <w:gridCol w:w="109"/>
        <w:gridCol w:w="109"/>
        <w:gridCol w:w="109"/>
        <w:gridCol w:w="196"/>
        <w:gridCol w:w="376"/>
        <w:gridCol w:w="109"/>
        <w:gridCol w:w="109"/>
        <w:gridCol w:w="109"/>
        <w:gridCol w:w="109"/>
        <w:gridCol w:w="196"/>
        <w:gridCol w:w="541"/>
        <w:gridCol w:w="109"/>
        <w:gridCol w:w="109"/>
        <w:gridCol w:w="109"/>
        <w:gridCol w:w="109"/>
        <w:gridCol w:w="196"/>
        <w:gridCol w:w="541"/>
        <w:gridCol w:w="109"/>
        <w:gridCol w:w="109"/>
        <w:gridCol w:w="109"/>
        <w:gridCol w:w="109"/>
        <w:gridCol w:w="196"/>
        <w:gridCol w:w="541"/>
        <w:gridCol w:w="109"/>
        <w:gridCol w:w="109"/>
        <w:gridCol w:w="109"/>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and operating expenses: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Revenue, Net</w:t>
      </w:r>
    </w:p>
    <w:p>
      <w:pPr>
        <w:pStyle w:val="TextBody"/>
        <w:bidi w:val="0"/>
        <w:spacing w:lineRule="auto" w:line="288" w:before="0" w:after="0"/>
        <w:jc w:val="left"/>
        <w:rPr/>
      </w:pPr>
      <w:r>
        <w:rPr>
          <w:rFonts w:ascii="Times New Roman;serif" w:hAnsi="Times New Roman;serif"/>
          <w:b w:val="false"/>
          <w:color w:val="000000"/>
          <w:sz w:val="20"/>
        </w:rPr>
        <w:t xml:space="preserve">Net product sales were $2.4 million and $1.7 million for the three months ended June 30, 2026 and 2025, respectively, and were $4.8 million and $2.7 million for the six months ended June 30, 2026 and 2025, respectively. Net product revenue growth over the prior year periods was primarily due to an increase in the number of patients who have been prescribed the Company’s drug product. </w:t>
      </w:r>
      <w:r>
        <w:rPr>
          <w:rFonts w:ascii="Times New Roman;serif" w:hAnsi="Times New Roman;serif"/>
          <w:b w:val="false"/>
          <w:color w:val="000000"/>
          <w:sz w:val="20"/>
          <w:shd w:fill="FFFFFF" w:val="clear"/>
        </w:rPr>
        <w:t xml:space="preserve">Gross-to-net adjustments were approximately 10% in the first half of 2026. </w:t>
      </w:r>
      <w:r>
        <w:rPr>
          <w:rFonts w:ascii="Times New Roman;serif" w:hAnsi="Times New Roman;serif"/>
          <w:b w:val="false"/>
          <w:color w:val="000000"/>
          <w:sz w:val="20"/>
        </w:rPr>
        <w:t xml:space="preserve">Co-pay assistance payments and rebates to U.S. government payors have comprised the majority of our gross-to-net revenue adjustments.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License and Other</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three and six months ended June 30, 2026, license and other revenue under the </w:t>
      </w:r>
      <w:r>
        <w:rPr>
          <w:rFonts w:ascii="Times New Roman;serif" w:hAnsi="Times New Roman;serif"/>
          <w:b w:val="false"/>
          <w:color w:val="000000"/>
          <w:sz w:val="20"/>
        </w:rPr>
        <w:t xml:space="preserve">Norgine Agreement was primarily comprised of $5.5 million of license revenue associated with the achievement of a regulatory milestone and $1.0 million and $1.2 million, respectively, of sales of drug supply to Norgine for early-access programs and future commercial sales. License and other revenue was not significant in the three months ended June 30, 2025. For the six months ended June 30, 2025, </w:t>
      </w:r>
      <w:r>
        <w:rPr>
          <w:rFonts w:ascii="Times New Roman;serif" w:hAnsi="Times New Roman;serif"/>
          <w:b w:val="false"/>
          <w:color w:val="000000"/>
          <w:sz w:val="20"/>
          <w:shd w:fill="FFFFFF" w:val="clear"/>
        </w:rPr>
        <w:t>license and other revenue was primarily comprised of</w:t>
      </w:r>
      <w:r>
        <w:rPr>
          <w:color w:val="000000"/>
        </w:rPr>
        <w:t xml:space="preserve"> </w:t>
      </w:r>
      <w:r>
        <w:rPr>
          <w:rFonts w:ascii="Times New Roman;serif" w:hAnsi="Times New Roman;serif"/>
          <w:b w:val="false"/>
          <w:color w:val="000000"/>
          <w:sz w:val="20"/>
        </w:rPr>
        <w:t xml:space="preserve">$27.6 million in license revenue in connection with the delivery of a license upon the execution of the Norgine Agreement and </w:t>
      </w:r>
      <w:r>
        <w:rPr>
          <w:rFonts w:ascii="Times New Roman;serif" w:hAnsi="Times New Roman;serif"/>
          <w:b w:val="false"/>
          <w:color w:val="000000"/>
          <w:sz w:val="20"/>
          <w:shd w:fill="FFFFFF" w:val="clear"/>
        </w:rPr>
        <w:t>$0.5 million</w:t>
      </w:r>
      <w:r>
        <w:rPr>
          <w:color w:val="000000"/>
        </w:rPr>
        <w:t xml:space="preserve"> </w:t>
      </w:r>
      <w:r>
        <w:rPr>
          <w:rFonts w:ascii="Times New Roman;serif" w:hAnsi="Times New Roman;serif"/>
          <w:b w:val="false"/>
          <w:color w:val="000000"/>
          <w:sz w:val="20"/>
        </w:rPr>
        <w:t xml:space="preserve">for the provision of research and development services thereunder.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0"/>
        <w:jc w:val="left"/>
        <w:rPr/>
      </w:pPr>
      <w:r>
        <w:rPr>
          <w:rFonts w:ascii="Times New Roman;serif" w:hAnsi="Times New Roman;serif"/>
          <w:b w:val="false"/>
          <w:color w:val="000000"/>
          <w:sz w:val="20"/>
        </w:rPr>
        <w:t xml:space="preserve">Cost of revenue primarily consists of amortization of an intangible asset related to milestone payments associated with our Genzyme license agreement, cost of manufactured drug product sold, and sales-based or sublicense-based royalty payments due under our Genzyme license agreement. Cost of revenue increased $1.3 million in the three months ended June 30, 2026 as compared to the same period in the prior year due to an increase in net product sales and an increase in drug supply sales. Cost of revenue decreased $2.8 </w:t>
      </w:r>
      <w:r>
        <w:rPr>
          <w:rFonts w:ascii="Times New Roman;serif" w:hAnsi="Times New Roman;serif"/>
          <w:b w:val="false"/>
          <w:color w:val="000000"/>
          <w:sz w:val="20"/>
          <w:shd w:fill="FFFFFF" w:val="clear"/>
        </w:rPr>
        <w:t xml:space="preserve">million in the </w:t>
      </w:r>
      <w:r>
        <w:rPr>
          <w:rFonts w:ascii="Times New Roman;serif" w:hAnsi="Times New Roman;serif"/>
          <w:b w:val="false"/>
          <w:color w:val="000000"/>
          <w:sz w:val="20"/>
        </w:rPr>
        <w:t>six months ended June 30, 2026, as compared to the same period in the prior year, primarily due to prior year royalties due under our Genzyme license agreement associated with sublicense income from the Norgine Agreement that did not reoccur in the current period, partially offset by higher intangible amortization in the current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in connection with the development of our one product candidate, including employee salaries and related expenses, clinical development expenses, and internal and third-party costs of manufacturing our drug products for use in our clinical trials. Research and development expenses also include costs related to compliance with regulatory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research and development has been focused on our one product candidate, mavorixafor (X4P-001), specifically for the CN indication in the U.S. The following table shows external costs incurred by product candidate (primarily external CRO costs) and unallocated research and development costs, primarily consisting of employee salaries and related expense for our research and development organization.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7185"/>
                <wp:effectExtent l="0" t="0" r="0" b="0"/>
                <wp:wrapNone/>
                <wp:docPr id="25" name="Frame25"/>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tbl>
      <w:tblPr>
        <w:tblW w:w="9321" w:type="dxa"/>
        <w:jc w:val="left"/>
        <w:tblInd w:w="0" w:type="dxa"/>
        <w:tblLayout w:type="fixed"/>
        <w:tblCellMar>
          <w:top w:w="28" w:type="dxa"/>
          <w:left w:w="28" w:type="dxa"/>
          <w:bottom w:w="28" w:type="dxa"/>
          <w:right w:w="28" w:type="dxa"/>
        </w:tblCellMar>
      </w:tblPr>
      <w:tblGrid>
        <w:gridCol w:w="1103"/>
        <w:gridCol w:w="966"/>
        <w:gridCol w:w="976"/>
        <w:gridCol w:w="196"/>
        <w:gridCol w:w="466"/>
        <w:gridCol w:w="109"/>
        <w:gridCol w:w="109"/>
        <w:gridCol w:w="109"/>
        <w:gridCol w:w="109"/>
        <w:gridCol w:w="196"/>
        <w:gridCol w:w="466"/>
        <w:gridCol w:w="109"/>
        <w:gridCol w:w="109"/>
        <w:gridCol w:w="109"/>
        <w:gridCol w:w="109"/>
        <w:gridCol w:w="196"/>
        <w:gridCol w:w="451"/>
        <w:gridCol w:w="109"/>
        <w:gridCol w:w="109"/>
        <w:gridCol w:w="109"/>
        <w:gridCol w:w="109"/>
        <w:gridCol w:w="196"/>
        <w:gridCol w:w="466"/>
        <w:gridCol w:w="109"/>
        <w:gridCol w:w="109"/>
        <w:gridCol w:w="109"/>
        <w:gridCol w:w="109"/>
        <w:gridCol w:w="196"/>
        <w:gridCol w:w="466"/>
        <w:gridCol w:w="109"/>
        <w:gridCol w:w="109"/>
        <w:gridCol w:w="109"/>
        <w:gridCol w:w="109"/>
        <w:gridCol w:w="196"/>
        <w:gridCol w:w="45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1" w:type="dxa"/>
            <w:gridSpan w:val="36"/>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 research and development expenses by product candidate: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Mavorixafor (X4P-001)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Research and development expenses decreased by $3.3</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and $6.4 million in the three and six months ended June 30, 2026, respectively, as compared to the same periods in the prior year. The decrease was</w:t>
      </w:r>
      <w:r>
        <w:rPr>
          <w:color w:val="000000"/>
          <w:shd w:fill="FFFFFF" w:val="clear"/>
        </w:rPr>
        <w:t xml:space="preserve"> </w:t>
      </w:r>
      <w:r>
        <w:rPr>
          <w:rFonts w:ascii="Times New Roman;serif" w:hAnsi="Times New Roman;serif"/>
          <w:b w:val="false"/>
          <w:color w:val="000000"/>
          <w:sz w:val="20"/>
          <w:shd w:fill="FFFFFF" w:val="clear"/>
        </w:rPr>
        <w:t>primarily due to lower compensation and related benefit costs as a result of strategic restructuring actions implemented in the prior year, partially offset by higher clinical costs, primarily CRO costs related to our 4WARD trial.</w:t>
      </w:r>
    </w:p>
    <w:p>
      <w:pPr>
        <w:pStyle w:val="TextBody"/>
        <w:bidi w:val="0"/>
        <w:spacing w:before="120" w:after="283"/>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General and Administrative Expenses </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related costs, including stock-based compensation, for personnel in executive, finance, and administrative functions. General and administrative expenses also include direct and allocated facility-related costs as well as professional fees for legal, patent, consulting, investor and public relations, accounting, and audit services.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General and administrative expenses decreased by $1.0 million and $9.1 million for the </w:t>
      </w:r>
      <w:r>
        <w:rPr>
          <w:rFonts w:ascii="Times New Roman;serif" w:hAnsi="Times New Roman;serif"/>
          <w:b w:val="false"/>
          <w:color w:val="000000"/>
          <w:sz w:val="20"/>
        </w:rPr>
        <w:t>three and six months ended June 30, 2026, respectively,</w:t>
      </w:r>
      <w:r>
        <w:rPr>
          <w:color w:val="000000"/>
          <w:shd w:fill="FFFFFF" w:val="clear"/>
        </w:rPr>
        <w:t xml:space="preserve"> </w:t>
      </w:r>
      <w:r>
        <w:rPr>
          <w:rFonts w:ascii="Times New Roman;serif" w:hAnsi="Times New Roman;serif"/>
          <w:b w:val="false"/>
          <w:color w:val="000000"/>
          <w:sz w:val="20"/>
          <w:shd w:fill="FFFFFF" w:val="clear"/>
        </w:rPr>
        <w:t>as compared to the same period in the prior year. The decrease for the three month period was primarily due to a reduction in legal, IT and sales and marketing costs, partially offset by higher stock-based compensation expense. The decrease for the six month period was primarily due to a significant reduction in sales and marketing expenses related to our approved drug product, a reduction in outside legal expenses, and reductions in compensation costs due to lower head count in general and administrative functions.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Other Income, Net </w:t>
      </w:r>
      <w:r>
        <w:rPr>
          <w:color w:val="000000"/>
        </w:rPr>
        <w:t xml:space="preserve">   </w:t>
      </w:r>
    </w:p>
    <w:tbl>
      <w:tblPr>
        <w:tblW w:w="9590" w:type="dxa"/>
        <w:jc w:val="left"/>
        <w:tblInd w:w="0" w:type="dxa"/>
        <w:tblLayout w:type="fixed"/>
        <w:tblCellMar>
          <w:top w:w="28" w:type="dxa"/>
          <w:left w:w="28" w:type="dxa"/>
          <w:bottom w:w="28" w:type="dxa"/>
          <w:right w:w="28" w:type="dxa"/>
        </w:tblCellMar>
      </w:tblPr>
      <w:tblGrid>
        <w:gridCol w:w="1267"/>
        <w:gridCol w:w="1112"/>
        <w:gridCol w:w="1115"/>
        <w:gridCol w:w="196"/>
        <w:gridCol w:w="376"/>
        <w:gridCol w:w="109"/>
        <w:gridCol w:w="109"/>
        <w:gridCol w:w="109"/>
        <w:gridCol w:w="109"/>
        <w:gridCol w:w="196"/>
        <w:gridCol w:w="376"/>
        <w:gridCol w:w="109"/>
        <w:gridCol w:w="109"/>
        <w:gridCol w:w="109"/>
        <w:gridCol w:w="109"/>
        <w:gridCol w:w="196"/>
        <w:gridCol w:w="451"/>
        <w:gridCol w:w="109"/>
        <w:gridCol w:w="109"/>
        <w:gridCol w:w="109"/>
        <w:gridCol w:w="109"/>
        <w:gridCol w:w="196"/>
        <w:gridCol w:w="376"/>
        <w:gridCol w:w="109"/>
        <w:gridCol w:w="109"/>
        <w:gridCol w:w="109"/>
        <w:gridCol w:w="109"/>
        <w:gridCol w:w="196"/>
        <w:gridCol w:w="466"/>
        <w:gridCol w:w="109"/>
        <w:gridCol w:w="109"/>
        <w:gridCol w:w="109"/>
        <w:gridCol w:w="109"/>
        <w:gridCol w:w="196"/>
        <w:gridCol w:w="54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7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Class C warrant liability</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net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Other income, net, decreased approximately $0.3 million and $10.0 million in the three and six months ended June 30, 2026, respectively, as compared to the same period in the prior year </w:t>
      </w:r>
      <w:r>
        <w:rPr>
          <w:rFonts w:ascii="Times New Roman;serif" w:hAnsi="Times New Roman;serif"/>
          <w:b w:val="false"/>
          <w:color w:val="000000"/>
          <w:sz w:val="20"/>
          <w:shd w:fill="FFFFFF" w:val="clear"/>
        </w:rPr>
        <w:t xml:space="preserve">primarily due to lower gains in the current period on fair value adjustments related to our Class C warrants, partially offset by higher interest income on our </w:t>
      </w:r>
      <w:r>
        <w:rPr>
          <w:rFonts w:ascii="Times New Roman;serif" w:hAnsi="Times New Roman;serif"/>
          <w:b w:val="false"/>
          <w:color w:val="000000"/>
          <w:sz w:val="20"/>
        </w:rPr>
        <w:t>marketable security investment portfolio</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funded our operations primarily with proceeds from sales of common stock, warrants and prefunded warrants for the purchase of our preferred stock and our common stock, sales of preferred stock, proceeds from the issuance of convertible debt and borrowings under loan and security agreements. </w:t>
      </w:r>
    </w:p>
    <w:p>
      <w:pPr>
        <w:pStyle w:val="TextBody"/>
        <w:bidi w:val="0"/>
        <w:spacing w:before="60" w:after="283"/>
        <w:jc w:val="left"/>
        <w:rPr/>
      </w:pPr>
      <w:r>
        <w:rPr/>
      </w:r>
    </w:p>
    <w:p>
      <w:pPr>
        <w:pStyle w:val="TextBody"/>
        <w:bidi w:val="0"/>
        <w:spacing w:lineRule="auto" w:line="288" w:before="60" w:after="283"/>
        <w:jc w:val="left"/>
        <w:rPr/>
      </w:pPr>
      <w:r>
        <w:rPr>
          <w:rFonts w:ascii="Times New Roman;serif" w:hAnsi="Times New Roman;serif"/>
          <w:b w:val="false"/>
          <w:i/>
          <w:color w:val="000000"/>
          <w:sz w:val="20"/>
        </w:rPr>
        <w:t xml:space="preserve">Public and Private Equity Offerings. </w:t>
      </w:r>
      <w:r>
        <w:rPr>
          <w:rFonts w:ascii="Times New Roman;serif" w:hAnsi="Times New Roman;serif"/>
          <w:b w:val="false"/>
          <w:color w:val="000000"/>
          <w:sz w:val="20"/>
        </w:rPr>
        <w:t xml:space="preserve">Over the past several years, we have funded our operations from sales of common stock, warrants and prefunded warrants through both public offerings and private placements. For example, most recently in October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7185"/>
                <wp:effectExtent l="0" t="0" r="0" b="0"/>
                <wp:wrapNone/>
                <wp:docPr id="26" name="Frame26"/>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2025 we completed an underwritten public offering of approximately 52.8 million shares of our common stock and prefunded warrants to purchase up to 700,000 shares of our common stock for net proceeds of $145.6 million, after underwriting discounts and offering expenses.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ATM Sales Agreement. </w:t>
      </w:r>
      <w:r>
        <w:rPr>
          <w:rFonts w:ascii="Times New Roman;serif" w:hAnsi="Times New Roman;serif"/>
          <w:b w:val="false"/>
          <w:color w:val="000000"/>
          <w:sz w:val="20"/>
        </w:rPr>
        <w:t>On May 6, 2026, we entered into an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(“ATM”), under which we may sell up to $75.0 million of our common shares through an investment bank. Through August 6, 2026, there have been no sales of our common stock under the ATM. We terminated our previous ATM agreement on March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Hercules Loan Agreement. </w:t>
      </w:r>
      <w:r>
        <w:rPr>
          <w:rFonts w:ascii="Times New Roman;serif" w:hAnsi="Times New Roman;serif"/>
          <w:b w:val="false"/>
          <w:color w:val="000000"/>
          <w:sz w:val="20"/>
        </w:rPr>
        <w:t xml:space="preserve">We are a party to a loan and security agreement (the “Hercules Loan Agreement”), which provides for a term loan facility of up to $107.5 million, under which we have borrowed an aggregate of $75.0 million of term loans to date, representing the maximum borrowings as of June 30, 2026. The term loan facility requires that we make interest-only payments through maturity on July 1, 2027 and requires that we meet certain operational and financial covenants. See Note 11 to our Annual Report on Form 10-K as filed with the SEC on March 17, 2026 for a full description of our Hercules Loan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 for each of the periods presented:</w:t>
      </w:r>
    </w:p>
    <w:tbl>
      <w:tblPr>
        <w:tblW w:w="8607" w:type="dxa"/>
        <w:jc w:val="left"/>
        <w:tblInd w:w="0" w:type="dxa"/>
        <w:tblLayout w:type="fixed"/>
        <w:tblCellMar>
          <w:top w:w="28" w:type="dxa"/>
          <w:left w:w="28" w:type="dxa"/>
          <w:bottom w:w="28" w:type="dxa"/>
          <w:right w:w="28" w:type="dxa"/>
        </w:tblCellMar>
      </w:tblPr>
      <w:tblGrid>
        <w:gridCol w:w="2291"/>
        <w:gridCol w:w="2003"/>
        <w:gridCol w:w="2036"/>
        <w:gridCol w:w="217"/>
        <w:gridCol w:w="634"/>
        <w:gridCol w:w="112"/>
        <w:gridCol w:w="112"/>
        <w:gridCol w:w="112"/>
        <w:gridCol w:w="112"/>
        <w:gridCol w:w="217"/>
        <w:gridCol w:w="603"/>
        <w:gridCol w:w="158"/>
      </w:tblGrid>
      <w:tr>
        <w:trPr/>
        <w:tc>
          <w:tcPr>
            <w:tcW w:w="229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8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operating activities was $40.4 million, primarily resulting from our net losses of $36.4 million adjusted for non-cash items of $7.2 million, primarily consisting of stock-based compensation, and changes in operating assets and liabilities of $11.2 million, primarily due to increases is in accounts receivable due to increases in revenue, and decreases in accounts payable and accrued expenses due to timing of vendor payments. During the six months ended June 30, 2025, net cash used in operating activities was $42.3 million, primarily resulting from net losses of $25.5 million adjusted for net non-cash income (expense) of $9.3 million, which includes a $13.5 million gain for the adjustment of our Class C warrant liability to fair value. Net cash used in operating activities also includes $7.5 million of changes to operating assets and liabilities primarily related to a reduction in accrued expenses.</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cash provided by investing activities of $18.3 million and $20.0 million, respectively, was primarily due to net maturities and sales of short-term marketable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cash flows from financing activities during the six months ended June 30, 2026. During the six months ended June 30, 2025, cash provided by financing activities of $5.6 million was primarily due to sales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through our ATM and a common stock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cash, cash equivalents and marketable securities on hand as of August 6, 2026 and our current operating plan, we believe that our cash, cash equivalents and marketable securities will allow us to fund our operations and debt obligations for at least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7185"/>
                <wp:effectExtent l="0" t="0" r="0" b="0"/>
                <wp:wrapNone/>
                <wp:docPr id="27" name="Frame27"/>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Capital Requirements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operating losses as we advance our lead drug candidate through the 4WARD trial. Until we reach profitability, we will need to raise additional capital, which cannot be assured, to fund our operations and meet our financial obligations beyond this period. Such additional capital could be raised through a combination of equity offerings, debt financings, other third-party funding, marketing and distribution arrangements, or other collaborations and strategic alliances. If we are unable to obtain funding, we could be forced to delay, reduce, or eliminate some or all of our research and development programs, product portfolio expansion or commercialization efforts, which would adversely affect our business prospects, or we may be unable to continue operations and may need to restructure our obligations in a court-supervised process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numerous risks and uncertainties associated with the future sale of our approved drug product and the research, development, and commercialization of future product candidates, we are unable to estimate the exact amount of our funding requirements. Our short-term and long-term funding requirements will depend on and could increase significantly as a result of many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number, initiation, progress, timing, costs, design, duration, any potential delays, and results of clinical trials and nonclinical studies for our current or future product candidates, particularly our Phase 3 clinical trial of mavorixafor for the treatment of individuals with chronic neutropenic disorders;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the outcome, timing and cost of regulatory reviews, approvals or other actions to meet regulatory requirements established by the FDA and comparable foreign regulatory authorities, including the potential for the FDA or comparable foreign regulatory authorities to require that we perform more studies for our product candidates than those that we currently expect;</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our ability to obtain marketing approval for our product candidates;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the cost of filing, prosecuting, defending and enforcing our patent claims and other intellectual property rights covering our product and product candidates, including any such patent claims and intellectual property rights that we have licensed from Genzyme pursuant to the terms of our license agreement with Genzyme;</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our ability to maintain, expand and defend the scope of our intellectual property portfolio, including the cost of defending intellectual property disputes, including patent infringement actions brought by third parties against us or our product or product candidates;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the success of any other business, product or technology that we acquire or in which we invest;</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the costs of acquiring, licensing or investing in businesses, product candidates and technologies;</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the effect of competing technological and market developments; and</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the costs to continue operating as a public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During the three months ended June 30, 2026, there were no material changes to our critical accounting policies as reported for the year ended December 31, 2025 as part of our Annual Report on Form 10-K. See Note 1 to the unaudited interim condensed consolidated financial statements included in this Quarterly Report on Form 10-Q under the heading </w:t>
      </w:r>
      <w:r>
        <w:rPr>
          <w:rFonts w:ascii="Times New Roman;serif" w:hAnsi="Times New Roman;serif"/>
          <w:b w:val="false"/>
          <w:i/>
          <w:color w:val="000000"/>
          <w:sz w:val="20"/>
        </w:rPr>
        <w:t>Recently Issued Accounting Standards Not Yet Adopted</w:t>
      </w:r>
      <w:r>
        <w:rPr>
          <w:color w:val="000000"/>
        </w:rPr>
        <w:t xml:space="preserve"> </w:t>
      </w:r>
      <w:r>
        <w:rPr>
          <w:rFonts w:ascii="Times New Roman;serif" w:hAnsi="Times New Roman;serif"/>
          <w:b w:val="false"/>
          <w:color w:val="000000"/>
          <w:sz w:val="20"/>
        </w:rPr>
        <w:t>for new accounting pronouncements or changes to the accounting pronouncements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7185"/>
                <wp:effectExtent l="0" t="0" r="0" b="0"/>
                <wp:wrapNone/>
                <wp:docPr id="28" name="Frame28"/>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(“SRC”) as defined by Rule 12b-2 of the Exchange Act and Item 10(f)(1) of Regulation S-K. We may take advantage of certain of the scaled disclosures available to smaller reporting companies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an SRC, we are not required to provide the information requested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officer and principal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Exchange Act Rules 13a-15(e) and 15d-15(e)) as of June 30, 2026, and have concluded that, based on such evaluation, our disclosure controls and procedures were effective as of June 30, 2026 at the reasonable assurance level.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7185"/>
                <wp:effectExtent l="0" t="0" r="0" b="0"/>
                <wp:wrapNone/>
                <wp:docPr id="29" name="Frame2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1.    Legal Proceedings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not currently a party to any material legal proceedings and we are not aware of any pending or threatened legal proceedings against us that we believe could have a material adverse effect on our business, operating results or financial condition.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various risks, including those described in Part I, Item 1A, “Risk Factors” of our Annual Report on Form 10-K for the year ended December 31, 2025. There have been no material changes from the risk factors disclosed in Item 1A of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Section 16 officer adopted, modified or terminated any Rule 10b5-1 trading arrangements or non-Rule 10b5-1 trading arrangements (in each case, as defined in Item 408(a)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9"/>
        <w:gridCol w:w="209"/>
        <w:gridCol w:w="213"/>
        <w:gridCol w:w="109"/>
        <w:gridCol w:w="109"/>
        <w:gridCol w:w="109"/>
        <w:gridCol w:w="1770"/>
        <w:gridCol w:w="1610"/>
        <w:gridCol w:w="1576"/>
        <w:gridCol w:w="109"/>
        <w:gridCol w:w="109"/>
        <w:gridCol w:w="109"/>
        <w:gridCol w:w="170"/>
        <w:gridCol w:w="170"/>
        <w:gridCol w:w="171"/>
        <w:gridCol w:w="109"/>
        <w:gridCol w:w="109"/>
        <w:gridCol w:w="109"/>
        <w:gridCol w:w="259"/>
        <w:gridCol w:w="259"/>
        <w:gridCol w:w="260"/>
        <w:gridCol w:w="109"/>
        <w:gridCol w:w="109"/>
        <w:gridCol w:w="109"/>
        <w:gridCol w:w="264"/>
        <w:gridCol w:w="264"/>
        <w:gridCol w:w="265"/>
        <w:gridCol w:w="109"/>
        <w:gridCol w:w="109"/>
        <w:gridCol w:w="109"/>
        <w:gridCol w:w="257"/>
        <w:gridCol w:w="257"/>
        <w:gridCol w:w="357"/>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 to:</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Exhibit Description</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as amended, as of September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09/01/2022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001-38295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the Restated Certificate of Incorporation of X4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001-38295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001-38295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199" w:before="0" w:after="0"/>
              <w:jc w:val="left"/>
              <w:rPr/>
            </w:pPr>
            <w:hyperlink r:id="rId5">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3/13/2019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001-38295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Second Amended and Restated 2017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5/12/2026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001-38295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22026.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6.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
        <w:gridCol w:w="235"/>
        <w:gridCol w:w="238"/>
        <w:gridCol w:w="109"/>
        <w:gridCol w:w="109"/>
        <w:gridCol w:w="109"/>
        <w:gridCol w:w="2152"/>
        <w:gridCol w:w="2152"/>
        <w:gridCol w:w="215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28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22026.htm">
              <w:r>
                <w:rPr>
                  <w:rStyle w:val="InternetLink"/>
                  <w:rFonts w:ascii="Times New Roman;serif" w:hAnsi="Times New Roman;serif"/>
                  <w:b w:val="false"/>
                  <w:color w:val="0000FF"/>
                  <w:sz w:val="20"/>
                  <w:u w:val="single"/>
                </w:rPr>
                <w:t>Certification of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The certification attached as Exhibit 32.1 accompanying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411" w:type="dxa"/>
        <w:jc w:val="left"/>
        <w:tblInd w:w="0" w:type="dxa"/>
        <w:tblLayout w:type="fixed"/>
        <w:tblCellMar>
          <w:top w:w="28" w:type="dxa"/>
          <w:left w:w="28" w:type="dxa"/>
          <w:bottom w:w="28" w:type="dxa"/>
          <w:right w:w="28" w:type="dxa"/>
        </w:tblCellMar>
      </w:tblPr>
      <w:tblGrid>
        <w:gridCol w:w="667"/>
        <w:gridCol w:w="587"/>
        <w:gridCol w:w="590"/>
        <w:gridCol w:w="451"/>
        <w:gridCol w:w="451"/>
        <w:gridCol w:w="451"/>
        <w:gridCol w:w="1232"/>
        <w:gridCol w:w="1232"/>
        <w:gridCol w:w="175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R. Craig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R. Craig, M.D., Ph.D., M.B.A.</w:t>
            </w:r>
          </w:p>
          <w:p>
            <w:pPr>
              <w:pStyle w:val="TableContents"/>
              <w:bidi w:val="0"/>
              <w:spacing w:lineRule="auto" w:line="240" w:before="0" w:after="0"/>
              <w:jc w:val="left"/>
              <w:rPr/>
            </w:pPr>
            <w:r>
              <w:rPr>
                <w:rFonts w:ascii="Times New Roman;serif" w:hAnsi="Times New Roman;serif"/>
                <w:b w:val="false"/>
                <w:color w:val="000000"/>
                <w:sz w:val="20"/>
              </w:rPr>
              <w:t xml:space="preserve">Executive Chairman </w:t>
            </w:r>
            <w:r>
              <w:rPr>
                <w:rFonts w:ascii="Times New Roman;serif" w:hAnsi="Times New Roman;serif"/>
                <w:b w:val="false"/>
                <w:i/>
                <w:color w:val="000000"/>
                <w:sz w:val="20"/>
              </w:rPr>
              <w:t>(Principal Executive Officer)</w:t>
            </w:r>
          </w:p>
        </w:tc>
      </w:tr>
    </w:tbl>
    <w:p>
      <w:pPr>
        <w:pStyle w:val="TextBody"/>
        <w:bidi w:val="0"/>
        <w:spacing w:before="200" w:after="283"/>
        <w:jc w:val="left"/>
        <w:rPr/>
      </w:pPr>
      <w:r>
        <w:rPr/>
      </w:r>
    </w:p>
    <w:tbl>
      <w:tblPr>
        <w:tblW w:w="91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024"/>
        <w:gridCol w:w="2024"/>
        <w:gridCol w:w="28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Kirske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Kirske</w:t>
            </w:r>
          </w:p>
          <w:p>
            <w:pPr>
              <w:pStyle w:val="TableContents"/>
              <w:bidi w:val="0"/>
              <w:spacing w:lineRule="auto" w:line="240" w:before="0" w:after="0"/>
              <w:jc w:val="left"/>
              <w:rPr/>
            </w:pPr>
            <w:r>
              <w:rPr>
                <w:rFonts w:ascii="Times New Roman;serif" w:hAnsi="Times New Roman;serif"/>
                <w:b w:val="false"/>
                <w:color w:val="000000"/>
                <w:sz w:val="20"/>
              </w:rPr>
              <w:t xml:space="preserve">Chief Financial Officer and Treasurer </w:t>
            </w: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7185"/>
                <wp:effectExtent l="0" t="0" r="0" b="0"/>
                <wp:wrapNone/>
                <wp:docPr id="32" name="Frame3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Adam R. Craig, M.D., Ph.D., M.B.A.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X4 Pharmaceuticals,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387" w:type="dxa"/>
        <w:jc w:val="left"/>
        <w:tblInd w:w="0" w:type="dxa"/>
        <w:tblLayout w:type="fixed"/>
        <w:tblCellMar>
          <w:top w:w="28" w:type="dxa"/>
          <w:left w:w="28" w:type="dxa"/>
          <w:bottom w:w="28" w:type="dxa"/>
          <w:right w:w="28" w:type="dxa"/>
        </w:tblCellMar>
      </w:tblPr>
      <w:tblGrid>
        <w:gridCol w:w="1093"/>
        <w:gridCol w:w="955"/>
        <w:gridCol w:w="967"/>
        <w:gridCol w:w="109"/>
        <w:gridCol w:w="109"/>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R. Craig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R. Craig, M.D., Ph.D., M.B.A.</w:t>
              <w:br/>
              <w:t>Executive Chairman</w:t>
              <w:br/>
              <w:t>(Principal Executive Officer)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David Kirske,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X4 Pharmaceuticals,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757" w:type="dxa"/>
        <w:jc w:val="left"/>
        <w:tblInd w:w="0" w:type="dxa"/>
        <w:tblLayout w:type="fixed"/>
        <w:tblCellMar>
          <w:top w:w="28" w:type="dxa"/>
          <w:left w:w="28" w:type="dxa"/>
          <w:bottom w:w="28" w:type="dxa"/>
          <w:right w:w="28" w:type="dxa"/>
        </w:tblCellMar>
      </w:tblPr>
      <w:tblGrid>
        <w:gridCol w:w="864"/>
        <w:gridCol w:w="757"/>
        <w:gridCol w:w="764"/>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Kirske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Kirske</w:t>
              <w:br/>
              <w:t>Chief Financial Officer</w:t>
              <w:br/>
              <w:t>(Principal Financial Officer)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60" w:after="283"/>
        <w:jc w:val="center"/>
        <w:rPr/>
      </w:pPr>
      <w:r>
        <w:rPr/>
      </w:r>
    </w:p>
    <w:p>
      <w:pPr>
        <w:pStyle w:val="TextBody"/>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Dr. Adam Craig, Executive Chairman of X4 Pharmaceuticals, Inc. (the “Company”), and David Kirske, Chief Financial Officer of the Company, each hereby certifies that, to the best of his knowledge:</w:t>
      </w:r>
    </w:p>
    <w:p>
      <w:pPr>
        <w:pStyle w:val="TextBody"/>
        <w:bidi w:val="0"/>
        <w:spacing w:before="60" w:after="283"/>
        <w:jc w:val="both"/>
        <w:rPr/>
      </w:pPr>
      <w:r>
        <w:rPr/>
      </w:r>
    </w:p>
    <w:p>
      <w:pPr>
        <w:pStyle w:val="TextBody"/>
        <w:bidi w:val="0"/>
        <w:spacing w:lineRule="auto" w:line="240" w:before="60" w:after="283"/>
        <w:ind w:left="0" w:right="0" w:hanging="720"/>
        <w:jc w:val="both"/>
        <w:rPr/>
      </w:pPr>
      <w:r>
        <w:rPr>
          <w:rFonts w:ascii="Times New Roman;serif" w:hAnsi="Times New Roman;serif"/>
          <w:b/>
          <w:color w:val="000000"/>
          <w:sz w:val="20"/>
        </w:rPr>
        <w:t>1.</w:t>
      </w:r>
      <w:r>
        <w:rPr>
          <w:rFonts w:ascii="Times New Roman;serif" w:hAnsi="Times New Roman;serif"/>
          <w:b w:val="false"/>
          <w:color w:val="000000"/>
          <w:sz w:val="20"/>
        </w:rPr>
        <w:t>The Company’s Quarterly Report on Form 10-Q for the period ended June 30, 2026, to which this Certification is attached as Exhibit 32.1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40" w:before="60" w:after="283"/>
        <w:ind w:left="0" w:right="0" w:hanging="720"/>
        <w:jc w:val="both"/>
        <w:rPr/>
      </w:pPr>
      <w:r>
        <w:rPr>
          <w:rFonts w:ascii="Times New Roman;serif" w:hAnsi="Times New Roman;serif"/>
          <w:b/>
          <w:color w:val="000000"/>
          <w:sz w:val="20"/>
        </w:rPr>
        <w:t>2.</w:t>
      </w:r>
      <w:r>
        <w:rPr>
          <w:rFonts w:ascii="Times New Roman;serif" w:hAnsi="Times New Roman;serif"/>
          <w:b w:val="false"/>
          <w:color w:val="000000"/>
          <w:sz w:val="20"/>
        </w:rPr>
        <w:t>The information contained in the Quarterly Report fairly presents, in all material respects, the financial condition and results of operations of the Company.</w:t>
      </w:r>
    </w:p>
    <w:p>
      <w:pPr>
        <w:pStyle w:val="TextBody"/>
        <w:bidi w:val="0"/>
        <w:spacing w:before="60" w:after="283"/>
        <w:jc w:val="both"/>
        <w:rPr/>
      </w:pPr>
      <w:r>
        <w:rPr/>
      </w:r>
    </w:p>
    <w:p>
      <w:pPr>
        <w:pStyle w:val="TextBody"/>
        <w:bidi w:val="0"/>
        <w:spacing w:lineRule="auto" w:line="240" w:before="60" w:after="283"/>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undersigned have set their hands hereto as of the 6th day of August, 2026.</w:t>
      </w:r>
    </w:p>
    <w:p>
      <w:pPr>
        <w:pStyle w:val="TextBody"/>
        <w:bidi w:val="0"/>
        <w:spacing w:before="60" w:after="283"/>
        <w:jc w:val="both"/>
        <w:rPr/>
      </w:pPr>
      <w:r>
        <w:rPr/>
      </w:r>
    </w:p>
    <w:p>
      <w:pPr>
        <w:pStyle w:val="TextBody"/>
        <w:bidi w:val="0"/>
        <w:spacing w:lineRule="auto" w:line="240" w:before="60" w:after="283"/>
        <w:jc w:val="both"/>
        <w:rPr/>
      </w:pPr>
      <w:r>
        <w:rPr>
          <w:rFonts w:ascii="Times New Roman;serif" w:hAnsi="Times New Roman;serif"/>
          <w:b w:val="false"/>
          <w:color w:val="000000"/>
          <w:sz w:val="20"/>
          <w:u w:val="single"/>
        </w:rPr>
        <w:t>/s/ Adam R. Craig    </w:t>
      </w:r>
      <w:r>
        <w:rPr>
          <w:color w:val="000000"/>
        </w:rPr>
        <w:t>    </w:t>
      </w:r>
      <w:r>
        <w:rPr>
          <w:rFonts w:ascii="Times New Roman;serif" w:hAnsi="Times New Roman;serif"/>
          <w:b w:val="false"/>
          <w:color w:val="000000"/>
          <w:sz w:val="20"/>
          <w:u w:val="single"/>
        </w:rPr>
        <w:t>/s/ David Kirske    </w:t>
      </w:r>
    </w:p>
    <w:p>
      <w:pPr>
        <w:pStyle w:val="TextBody"/>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Adam R. Craig, M.D., Ph.D., M.B.A.         David Kirske</w:t>
      </w:r>
    </w:p>
    <w:p>
      <w:pPr>
        <w:pStyle w:val="TextBody"/>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Executive Chairman        Chief Financial Officer</w:t>
      </w:r>
    </w:p>
    <w:p>
      <w:pPr>
        <w:pStyle w:val="TextBody"/>
        <w:bidi w:val="0"/>
        <w:spacing w:lineRule="auto" w:line="240" w:before="60" w:after="283"/>
        <w:ind w:left="0" w:right="0" w:hanging="5760"/>
        <w:jc w:val="both"/>
        <w:rPr/>
      </w:pPr>
      <w:r>
        <w:rPr>
          <w:rFonts w:ascii="Times New Roman;serif" w:hAnsi="Times New Roman;serif"/>
          <w:b w:val="false"/>
          <w:i/>
          <w:color w:val="000000"/>
          <w:sz w:val="20"/>
        </w:rPr>
        <w:t>(Principal Executive Officer)</w:t>
      </w:r>
      <w:r>
        <w:rPr>
          <w:color w:val="000000"/>
        </w:rPr>
        <w:t xml:space="preserve">             </w:t>
      </w:r>
      <w:r>
        <w:rPr>
          <w:rFonts w:ascii="Times New Roman;serif" w:hAnsi="Times New Roman;serif"/>
          <w:b w:val="false"/>
          <w:i/>
          <w:color w:val="000000"/>
          <w:sz w:val="20"/>
        </w:rPr>
        <w:t>(Principal Financial Officer and Principal Accounting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697/000162828022024161/x4-ex31to8xkxcharteramen.htm" TargetMode="External"/><Relationship Id="rId3" Type="http://schemas.openxmlformats.org/officeDocument/2006/relationships/hyperlink" Target="https://www.sec.gov/Archives/edgar/data/1501697/000162828025019507/ex31amendmenttotherestatec.htm" TargetMode="External"/><Relationship Id="rId4" Type="http://schemas.openxmlformats.org/officeDocument/2006/relationships/hyperlink" Target="https://www.sec.gov/Archives/edgar/data/1501697/000119312517348213/d495338dex32.htm" TargetMode="External"/><Relationship Id="rId5" Type="http://schemas.openxmlformats.org/officeDocument/2006/relationships/hyperlink" Target="https://www.sec.gov/Archives/edgar/data/1501697/000119312519073465/d702482dex41.htm" TargetMode="External"/><Relationship Id="rId6" Type="http://schemas.openxmlformats.org/officeDocument/2006/relationships/hyperlink" Target="https://www.sec.gov/Archives/edgar/data/1501697/000150169726000051/ex-101secondamendedandres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14251</Words>
  <Characters>80063</Characters>
  <CharactersWithSpaces>93146</CharactersWithSpaces>
  <Paragraphs>2012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