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14" w:type="dxa"/>
        <w:jc w:val="center"/>
        <w:tblInd w:w="0" w:type="dxa"/>
        <w:tblLayout w:type="fixed"/>
        <w:tblCellMar>
          <w:top w:w="28" w:type="dxa"/>
          <w:left w:w="28" w:type="dxa"/>
          <w:bottom w:w="28" w:type="dxa"/>
          <w:right w:w="28" w:type="dxa"/>
        </w:tblCellMar>
      </w:tblPr>
      <w:tblGrid>
        <w:gridCol w:w="478"/>
        <w:gridCol w:w="420"/>
        <w:gridCol w:w="421"/>
        <w:gridCol w:w="232"/>
        <w:gridCol w:w="232"/>
        <w:gridCol w:w="33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36"/>
              </w:rPr>
            </w:pPr>
            <w:r>
              <w:rPr>
                <w:rFonts w:ascii="Times New Roman;serif" w:hAnsi="Times New Roman;serif"/>
                <w:b/>
                <w:color w:val="000000"/>
                <w:sz w:val="36"/>
              </w:rPr>
              <w:t xml:space="preserve">FORM </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36"/>
              </w:rPr>
              <w:t>8-K</w:t>
            </w:r>
          </w:p>
        </w:tc>
      </w:tr>
      <w:tr>
        <w:trPr/>
        <w:tc>
          <w:tcPr>
            <w:tcW w:w="2114"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June 30, 2026</w:t>
      </w:r>
    </w:p>
    <w:tbl>
      <w:tblPr>
        <w:tblW w:w="6402" w:type="dxa"/>
        <w:jc w:val="center"/>
        <w:tblInd w:w="0" w:type="dxa"/>
        <w:tblLayout w:type="fixed"/>
        <w:tblCellMar>
          <w:top w:w="28" w:type="dxa"/>
          <w:left w:w="28" w:type="dxa"/>
          <w:bottom w:w="28" w:type="dxa"/>
          <w:right w:w="28" w:type="dxa"/>
        </w:tblCellMar>
      </w:tblPr>
      <w:tblGrid>
        <w:gridCol w:w="762"/>
        <w:gridCol w:w="669"/>
        <w:gridCol w:w="669"/>
        <w:gridCol w:w="669"/>
        <w:gridCol w:w="669"/>
        <w:gridCol w:w="669"/>
        <w:gridCol w:w="669"/>
        <w:gridCol w:w="669"/>
        <w:gridCol w:w="957"/>
      </w:tblGrid>
      <w:tr>
        <w:trP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4"/>
              </w:rPr>
            </w:pPr>
            <w:r>
              <w:rPr>
                <w:rFonts w:ascii="Times New Roman;serif" w:hAnsi="Times New Roman;serif"/>
                <w:b/>
                <w:color w:val="000000"/>
                <w:sz w:val="44"/>
              </w:rPr>
              <w:t>X4 PHARMACEUTICALS, INC.</w:t>
            </w:r>
          </w:p>
        </w:tc>
      </w:tr>
      <w:tr>
        <w:trPr/>
        <w:tc>
          <w:tcPr>
            <w:tcW w:w="6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57" w:type="dxa"/>
        <w:jc w:val="center"/>
        <w:tblInd w:w="0" w:type="dxa"/>
        <w:tblLayout w:type="fixed"/>
        <w:tblCellMar>
          <w:top w:w="28" w:type="dxa"/>
          <w:left w:w="28" w:type="dxa"/>
          <w:bottom w:w="28" w:type="dxa"/>
          <w:right w:w="28" w:type="dxa"/>
        </w:tblCellMar>
      </w:tblPr>
      <w:tblGrid>
        <w:gridCol w:w="1396"/>
        <w:gridCol w:w="1228"/>
        <w:gridCol w:w="1231"/>
        <w:gridCol w:w="109"/>
        <w:gridCol w:w="109"/>
        <w:gridCol w:w="109"/>
        <w:gridCol w:w="677"/>
        <w:gridCol w:w="677"/>
        <w:gridCol w:w="685"/>
        <w:gridCol w:w="109"/>
        <w:gridCol w:w="109"/>
        <w:gridCol w:w="109"/>
        <w:gridCol w:w="760"/>
        <w:gridCol w:w="760"/>
        <w:gridCol w:w="1089"/>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27-3181608</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437" w:type="dxa"/>
        <w:jc w:val="left"/>
        <w:tblInd w:w="0" w:type="dxa"/>
        <w:tblLayout w:type="fixed"/>
        <w:tblCellMar>
          <w:top w:w="28" w:type="dxa"/>
          <w:left w:w="28" w:type="dxa"/>
          <w:bottom w:w="28" w:type="dxa"/>
          <w:right w:w="28" w:type="dxa"/>
        </w:tblCellMar>
      </w:tblPr>
      <w:tblGrid>
        <w:gridCol w:w="707"/>
        <w:gridCol w:w="620"/>
        <w:gridCol w:w="623"/>
        <w:gridCol w:w="409"/>
        <w:gridCol w:w="409"/>
        <w:gridCol w:w="413"/>
        <w:gridCol w:w="109"/>
        <w:gridCol w:w="109"/>
        <w:gridCol w:w="109"/>
        <w:gridCol w:w="272"/>
        <w:gridCol w:w="272"/>
        <w:gridCol w:w="385"/>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 North Beacon Street,</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Boston,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02134</w:t>
            </w:r>
          </w:p>
        </w:tc>
      </w:tr>
      <w:tr>
        <w:trPr/>
        <w:tc>
          <w:tcPr>
            <w:tcW w:w="3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(857) 529-8300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96" w:type="dxa"/>
        <w:jc w:val="center"/>
        <w:tblInd w:w="0" w:type="dxa"/>
        <w:tblLayout w:type="fixed"/>
        <w:tblCellMar>
          <w:top w:w="28" w:type="dxa"/>
          <w:left w:w="28" w:type="dxa"/>
          <w:bottom w:w="28" w:type="dxa"/>
          <w:right w:w="28" w:type="dxa"/>
        </w:tblCellMar>
      </w:tblPr>
      <w:tblGrid>
        <w:gridCol w:w="1231"/>
        <w:gridCol w:w="1083"/>
        <w:gridCol w:w="1090"/>
        <w:gridCol w:w="109"/>
        <w:gridCol w:w="109"/>
        <w:gridCol w:w="109"/>
        <w:gridCol w:w="519"/>
        <w:gridCol w:w="519"/>
        <w:gridCol w:w="521"/>
        <w:gridCol w:w="109"/>
        <w:gridCol w:w="109"/>
        <w:gridCol w:w="109"/>
        <w:gridCol w:w="1019"/>
        <w:gridCol w:w="1019"/>
        <w:gridCol w:w="144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or Rule 12b-2 of the Securities Exchange Act of 1934.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8"/>
        </w:rPr>
        <w:t>Emerging growth company </w:t>
      </w:r>
      <w:r>
        <w:rPr>
          <w:color w:val="000000"/>
        </w:rPr>
        <w: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
        <w:gridCol w:w="262"/>
        <w:gridCol w:w="266"/>
        <w:gridCol w:w="2745"/>
        <w:gridCol w:w="2745"/>
        <w:gridCol w:w="3888"/>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3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2026, of X4 Pharmaceuticals, Inc. (the “Company”) appointed Kelly Gold as a Class II director of the Company, effective as of July 1, 2026. In connection with Ms. Gold’s appointment, the size of the Company’s board of directors (the “Board”) was increased from five to six directors. Ms. Gold has also been appointed to serve on the Audit Committee of the Board.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Ms. Gold, age 49, has served as Chief Financial Officer of CAMP4 Therapeutics Corporation, a clinical-stage biopharmaceutical company (Nasdaq: CAMP), since April 2022. Ms. Gold previously served as CAMP4’s Chief Business Officer from April 2021 to March 2022, and held positions of increasing responsibility in Finance and Corporate Development at CAMP4 from 2017 to March 2021. Ms. Gold previously served as Associate Director, Strategic Corporate Finance at Biogen Inc. (Nasdaq: BIIB) from 2014 to 2017, where she provided financial leadership for the company’s late stage and marketed rare disease programs and developed long term strategic financial trajectories for the R&amp;D organization. Ms. Gold also previously served as a Healthcare Investment Banking Associate at Deutsche Bank from 2009 to 2013, where she worked in the healthcare investment banking group. Ms. Gold earned bachelor’s degrees in Life Sciences and Mechanical Engineering from Queen’s University in Ontario and an MBA from the MIT Sloan School of Management.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her appointment to the Board, Ms. Gold will be entitled to receive compensation in accordance with the Company’s non-employee director compensation policy as generally described in the Company’s Definitive Proxy Statement filed on March 20, 2026. Ms. Gold is also entering into the Company’s standard form of indemnification agreement, a form of which was previously filed as Exhibit 10.36 to Amendment No. 1 to the Company’s Registration Statement on Form S-1 filed on November 6, 2017.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Gold and any other person pursuant to which she was appointed as director of the Company; there are no family relationships between Ms. Gold and any director or executive officer of the Company; and Ms. Gold is not a party to any transactions of the type that would require disclosure under Item 404(a) of Regulation S-K.</w:t>
      </w:r>
    </w:p>
    <w:p>
      <w:pPr>
        <w:pStyle w:val="TextBody"/>
        <w:bidi w:val="0"/>
        <w:spacing w:before="0" w:after="0"/>
        <w:jc w:val="left"/>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Company’s press release announcing the foregoing appointment is furnished hereto as Exhibit 99.1.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before="0" w:after="0"/>
        <w:jc w:val="both"/>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76" w:before="0" w:after="0"/>
        <w:jc w:val="left"/>
        <w:rPr/>
      </w:pPr>
      <w:r>
        <w:rPr>
          <w:rFonts w:ascii="Times New Roman;serif" w:hAnsi="Times New Roman;serif"/>
          <w:b w:val="false"/>
          <w:i/>
          <w:color w:val="000000"/>
          <w:sz w:val="20"/>
        </w:rPr>
        <w:t xml:space="preserve">(d) Exhibits. </w:t>
      </w:r>
      <w:r>
        <w:rPr>
          <w:rFonts w:ascii="Times New Roman;serif" w:hAnsi="Times New Roman;serif"/>
          <w:b w:val="false"/>
          <w:color w:val="000000"/>
          <w:sz w:val="20"/>
        </w:rPr>
        <w:t>The following exhibits are being furnished herewith:</w:t>
      </w:r>
    </w:p>
    <w:p>
      <w:pPr>
        <w:pStyle w:val="TextBody"/>
        <w:bidi w:val="0"/>
        <w:spacing w:before="0" w:after="0"/>
        <w:jc w:val="left"/>
        <w:rPr/>
      </w:pPr>
      <w:r>
        <w:rPr/>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7"/>
        <w:gridCol w:w="1927"/>
        <w:gridCol w:w="274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Title or 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991_pressreleasedat.htm">
              <w:r>
                <w:rPr>
                  <w:rStyle w:val="InternetLink"/>
                  <w:rFonts w:ascii="Times New Roman;serif" w:hAnsi="Times New Roman;serif"/>
                  <w:b w:val="false"/>
                  <w:color w:val="0000FF"/>
                  <w:sz w:val="20"/>
                  <w:u w:val="single"/>
                </w:rPr>
                <w:t>Press Release, dated July 1, 2026</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434"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451"/>
        <w:gridCol w:w="451"/>
        <w:gridCol w:w="451"/>
        <w:gridCol w:w="921"/>
        <w:gridCol w:w="921"/>
        <w:gridCol w:w="130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X4 PHARMACEUTICALS,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Kirske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Kirske</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057275" cy="819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57275" cy="8191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9" w:before="0" w:after="240"/>
        <w:jc w:val="center"/>
        <w:rPr>
          <w:rFonts w:ascii="sans-serif" w:hAnsi="sans-serif"/>
          <w:b/>
          <w:color w:val="000000"/>
          <w:sz w:val="28"/>
        </w:rPr>
      </w:pPr>
      <w:r>
        <w:rPr>
          <w:rFonts w:ascii="sans-serif" w:hAnsi="sans-serif"/>
          <w:b/>
          <w:color w:val="000000"/>
          <w:sz w:val="28"/>
        </w:rPr>
        <w:t>X4 Pharmaceuticals Appoints Kelly Gold, Experienced Chief Financial Officer, to its Board of Directors</w:t>
      </w:r>
    </w:p>
    <w:p>
      <w:pPr>
        <w:pStyle w:val="TextBody"/>
        <w:bidi w:val="0"/>
        <w:spacing w:lineRule="auto" w:line="319" w:before="0" w:after="0"/>
        <w:jc w:val="both"/>
        <w:rPr/>
      </w:pPr>
      <w:r>
        <w:rPr>
          <w:rFonts w:ascii="sans-serif" w:hAnsi="sans-serif"/>
          <w:b/>
          <w:color w:val="000000"/>
          <w:sz w:val="24"/>
        </w:rPr>
        <w:t xml:space="preserve">BOSTON, July 1, 2026 – </w:t>
      </w:r>
      <w:r>
        <w:rPr>
          <w:rFonts w:ascii="sans-serif" w:hAnsi="sans-serif"/>
          <w:b/>
          <w:color w:val="0563C1"/>
          <w:sz w:val="24"/>
        </w:rPr>
        <w:t>X4 Pharmaceuticals</w:t>
      </w:r>
      <w:r>
        <w:rPr>
          <w:color w:val="000000"/>
        </w:rPr>
        <w:t xml:space="preserve"> </w:t>
      </w:r>
      <w:r>
        <w:rPr>
          <w:rFonts w:ascii="sans-serif" w:hAnsi="sans-serif"/>
          <w:b w:val="false"/>
          <w:color w:val="000000"/>
          <w:sz w:val="24"/>
        </w:rPr>
        <w:t>(Nasdaq: XFOR), a company focused on improving the lives of people with rare hematology diseases, today announced the appointment of Kelly Gold to the Company’s Board of Directors effective July 1, 2026, adding strong strategic and financial expertise. Ms. Gold will serve as an independent director and member of the Audit Committee.</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4"/>
        </w:rPr>
        <w:t>We are thrilled to welcome Kelly to our Board of Directors as she brings a distinct combination of financial leadership, capital markets expertise and a scientific background,” said Adam Craig, M.D., Ph.D., Executive Chairman of X4 Pharmaceuticals. “As we continue to strengthen our team to align with our strategic priorities, Kelly’s experience as a public company CFO, coupled with her deep understanding of the biotech landscape will be a great addition to our Board. We look forward to leveraging her experience as we continue to progress mavorixafor towards potential approval and commercialization.”</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 xml:space="preserve">"I am honored to join X4 Pharmaceuticals’ Board at this important stage in the company's evolution. X4 has built a strong foundation through its commitment to developing innovative therapies for patients living with rare diseases, and I look forward to working alongside my fellow directors and the leadership team as the company advances its mission," added Ms. Gold. </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 xml:space="preserve">Ms. Gold is currently the Chief Financial Officer at CAMP4 Therapeutics (Nasdaq: CAMP) where she has held roles of increasing responsibility leading the Business Development and Finance functions before becoming CFO. At CAMP4, she leads all corporate finance and accounting, investor relations, strategic financial planning, and is responsible for guiding and executing the company’s strategy for establishing innovative strategic and technology-based partnerships. Previously, Ms. Gold held various roles in corporate finance and business planning at Biogen, where she provided financial leadership for the company’s late stage and marketed rare disease programs and developed long-term strategic financial trajectories for the R&amp;D organization. Prior to Biogen, Ms. Gold worked in the Healthcare and Latin American Investment Banking groups at Deutsche Bank. Ms. Gold began her career as a mechanical engineer designing biocontainment systems for Biosafety Level 4 research facilities. She holds bachelor’s degrees in </w: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Biochemistry and Mechanical Engineering from Queen’s University in Ontario, as well as an MBA from the MIT Sloan School of Management.</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sans-serif" w:hAnsi="sans-serif"/>
          <w:b/>
          <w:color w:val="000000"/>
          <w:sz w:val="24"/>
        </w:rPr>
      </w:pPr>
      <w:r>
        <w:rPr>
          <w:rFonts w:ascii="sans-serif" w:hAnsi="sans-serif"/>
          <w:b/>
          <w:color w:val="000000"/>
          <w:sz w:val="24"/>
        </w:rPr>
        <w:t>About X4 Pharmaceuticals</w:t>
      </w:r>
    </w:p>
    <w:p>
      <w:pPr>
        <w:pStyle w:val="TextBody"/>
        <w:bidi w:val="0"/>
        <w:spacing w:before="0" w:after="0"/>
        <w:jc w:val="both"/>
        <w:rPr/>
      </w:pPr>
      <w:r>
        <w:rPr/>
      </w:r>
    </w:p>
    <w:p>
      <w:pPr>
        <w:pStyle w:val="TextBody"/>
        <w:bidi w:val="0"/>
        <w:spacing w:lineRule="auto" w:line="319" w:before="0" w:after="0"/>
        <w:jc w:val="both"/>
        <w:rPr/>
      </w:pPr>
      <w:r>
        <w:rPr>
          <w:rFonts w:ascii="sans-serif" w:hAnsi="sans-serif"/>
          <w:b w:val="false"/>
          <w:color w:val="000000"/>
          <w:sz w:val="24"/>
        </w:rPr>
        <w:t xml:space="preserve">X4 Pharmaceuticals is a company focused on improving the lives of people with rare hematology diseases by developing and commercializing innovative therapies in areas with significant unmet needs. Leveraging expertise in diseases of the immune system and CXCR4 biology, X4 has successfully developed mavorixafor, an orally available CXCR4 antagonist that is approved in the U.S. and EU as XOLREMDI® for patients with WHIM syndrome. The Company is currently conducting a global, pivotal Phase 3 clinical trial (4WARD) evaluating mavorixafor in chronic neutropenic disorders. The U.S. FDA has granted Fast Track designation to mavorixafor for the treatment of chronic neutropenia. X4 is headquartered in Boston, Massachusetts. For more information, please visit </w:t>
      </w:r>
      <w:r>
        <w:rPr>
          <w:rFonts w:ascii="sans-serif" w:hAnsi="sans-serif"/>
          <w:b w:val="false"/>
          <w:color w:val="0563C1"/>
          <w:sz w:val="24"/>
        </w:rPr>
        <w:t>www.x4pharma.com</w:t>
      </w:r>
      <w:r>
        <w:rPr>
          <w:rFonts w:ascii="sans-serif" w:hAnsi="sans-serif"/>
          <w:b w:val="false"/>
          <w:color w:val="000000"/>
          <w:sz w:val="24"/>
        </w:rPr>
        <w:t xml:space="preserve">. </w:t>
      </w:r>
    </w:p>
    <w:p>
      <w:pPr>
        <w:pStyle w:val="TextBody"/>
        <w:bidi w:val="0"/>
        <w:spacing w:before="0" w:after="0"/>
        <w:jc w:val="both"/>
        <w:rPr/>
      </w:pPr>
      <w:r>
        <w:rPr/>
      </w:r>
    </w:p>
    <w:p>
      <w:pPr>
        <w:pStyle w:val="TextBody"/>
        <w:bidi w:val="0"/>
        <w:spacing w:lineRule="auto" w:line="319" w:before="0" w:after="0"/>
        <w:jc w:val="left"/>
        <w:rPr>
          <w:rFonts w:ascii="sans-serif" w:hAnsi="sans-serif"/>
          <w:b/>
          <w:color w:val="000000"/>
          <w:sz w:val="24"/>
        </w:rPr>
      </w:pPr>
      <w:r>
        <w:rPr>
          <w:rFonts w:ascii="sans-serif" w:hAnsi="sans-serif"/>
          <w:b/>
          <w:color w:val="000000"/>
          <w:sz w:val="24"/>
        </w:rPr>
        <w:t>X4 Investor Contact:</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Remy Bernarda</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Jenny Kobin</w:t>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IR Advisory Solutions</w:t>
      </w:r>
    </w:p>
    <w:p>
      <w:pPr>
        <w:pStyle w:val="TextBody"/>
        <w:bidi w:val="0"/>
        <w:spacing w:lineRule="auto" w:line="319" w:before="0" w:after="0"/>
        <w:jc w:val="left"/>
        <w:rPr>
          <w:rFonts w:ascii="sans-serif" w:hAnsi="sans-serif"/>
          <w:b w:val="false"/>
          <w:color w:val="0563C1"/>
          <w:sz w:val="24"/>
        </w:rPr>
      </w:pPr>
      <w:r>
        <w:rPr>
          <w:rFonts w:ascii="sans-serif" w:hAnsi="sans-serif"/>
          <w:b w:val="false"/>
          <w:color w:val="0563C1"/>
          <w:sz w:val="24"/>
        </w:rPr>
        <w:t>ir@x4pharma.com</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4"/>
        </w:rPr>
      </w:pPr>
      <w:r>
        <w:rPr>
          <w:rFonts w:ascii="sans-serif" w:hAnsi="sans-serif"/>
          <w:b w:val="false"/>
          <w:color w:val="000000"/>
          <w:sz w:val="24"/>
        </w:rPr>
        <w:t>Source: X4 Pharmaceuticals, Inc.</w:t>
      </w:r>
    </w:p>
    <w:p>
      <w:pPr>
        <w:pStyle w:val="TextBody"/>
        <w:bidi w:val="0"/>
        <w:spacing w:before="0" w:after="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1382</Words>
  <Characters>7836</Characters>
  <CharactersWithSpaces>9173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