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954405</wp:posOffset>
            </wp:positionV>
            <wp:extent cx="70377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980440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037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9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3982720</wp:posOffset>
            </wp:positionH>
            <wp:positionV relativeFrom="paragraph">
              <wp:posOffset>-29210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3" w:lineRule="exact"/>
        <w:rPr>
          <w:sz w:val="24"/>
          <w:szCs w:val="24"/>
          <w:color w:val="auto"/>
        </w:rPr>
      </w:pPr>
    </w:p>
    <w:p>
      <w:pPr>
        <w:sectPr>
          <w:pgSz w:w="11900" w:h="16838" w:orient="portrait"/>
          <w:cols w:equalWidth="0" w:num="3">
            <w:col w:w="2440" w:space="720"/>
            <w:col w:w="2960" w:space="100"/>
            <w:col w:w="391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185"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105"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X4 Pharmaceuticals, Inc.</w:t>
      </w:r>
    </w:p>
    <w:p>
      <w:pPr>
        <w:spacing w:after="0" w:line="5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8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 North Beacon Street, 4</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Boston, Massachusetts 02134</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June 6,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 of X4 Pharmaceuticals, Inc.:</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X4 Pharmaceuticals, Inc., a Delaware corporation (the “Company”). The Annual Meeting will be held on Monday, June 6, 2022 at 11:00 a.m. Eastern Time at the offices of Cooley LLP, 500 Boylston Street, 14th Floor, Boston, Massachusetts 02116. The Annual Meeting will be held for the following purposes:</w:t>
      </w:r>
    </w:p>
    <w:p>
      <w:pPr>
        <w:spacing w:after="0" w:line="176" w:lineRule="exact"/>
        <w:rPr>
          <w:sz w:val="20"/>
          <w:szCs w:val="20"/>
          <w:color w:val="auto"/>
        </w:rPr>
      </w:pPr>
    </w:p>
    <w:p>
      <w:pPr>
        <w:ind w:right="160" w:firstLine="8"/>
        <w:spacing w:after="0" w:line="282" w:lineRule="auto"/>
        <w:tabs>
          <w:tab w:leader="none" w:pos="35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two (2) nominees named in the accompanying proxy statement (the “Proxy Statement”), William E. Aliski, MPA and Alison Lawton, to the Board of Directors to hold office until the 2025 Annual Meeting of Stockholders and until their successors are duly elected and qualified.</w:t>
      </w:r>
    </w:p>
    <w:p>
      <w:pPr>
        <w:spacing w:after="0" w:line="161" w:lineRule="exact"/>
        <w:rPr>
          <w:rFonts w:ascii="Times New Roman" w:cs="Times New Roman" w:eastAsia="Times New Roman" w:hAnsi="Times New Roman"/>
          <w:sz w:val="18"/>
          <w:szCs w:val="18"/>
          <w:b w:val="1"/>
          <w:bCs w:val="1"/>
          <w:color w:val="auto"/>
        </w:rPr>
      </w:pPr>
    </w:p>
    <w:p>
      <w:pPr>
        <w:ind w:right="600" w:firstLine="8"/>
        <w:spacing w:after="0" w:line="282" w:lineRule="auto"/>
        <w:tabs>
          <w:tab w:leader="none" w:pos="35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PricewaterhouseCoopers LLP as the independent registered public accounting firm of the Company for its fiscal year ending December 31, 2022.</w:t>
      </w:r>
    </w:p>
    <w:p>
      <w:pPr>
        <w:spacing w:after="0" w:line="16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11, 2022. Only stockholders of record at the close of business on that date may vote at the Annual Meeting or any adjournment or postponement thereof. A list of stockholders entitled to vote at the Annual Meeting will be available at our principal executive offices for examination during normal business hours by any stockholder for any purpose germane to the Annual Meeting for a period of ten days prior to the Annual Meeting through the close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94615</wp:posOffset>
            </wp:positionV>
            <wp:extent cx="171450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Paula Ragan, Ph.D.</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2022</w:t>
      </w:r>
    </w:p>
    <w:p>
      <w:pPr>
        <w:sectPr>
          <w:pgSz w:w="11900" w:h="16838" w:orient="portrait"/>
          <w:cols w:equalWidth="0" w:num="1">
            <w:col w:w="11200"/>
          </w:cols>
          <w:pgMar w:left="320" w:top="698" w:right="379" w:bottom="1440" w:gutter="0" w:footer="0" w:header="0"/>
        </w:sectPr>
      </w:pPr>
    </w:p>
    <w:bookmarkStart w:id="2" w:name="page3"/>
    <w:bookmarkEnd w:id="2"/>
    <w:p>
      <w:pPr>
        <w:spacing w:after="0" w:line="24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456565</wp:posOffset>
            </wp:positionH>
            <wp:positionV relativeFrom="page">
              <wp:posOffset>414655</wp:posOffset>
            </wp:positionV>
            <wp:extent cx="6617970" cy="1259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7970" cy="1259840"/>
                    </a:xfrm>
                    <a:prstGeom prst="rect">
                      <a:avLst/>
                    </a:prstGeom>
                    <a:noFill/>
                  </pic:spPr>
                </pic:pic>
              </a:graphicData>
            </a:graphic>
          </wp:anchor>
        </w:drawing>
        <w:t>You are cordially invited to attend the Annual Meeting. Whether or not you expect to attend the Annual Meeting, please vote by telephone or through the Internet, or, if you receive a paper proxy card by mail, by completing and returning the proxy card mailed to you, as promptly as possible in order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 Even if you have voted by proxy, you may still vote in person if you attend the Annual Meeting. Please note, however, that if your shares are held of record by a brokerage firm, bank or other agent and you wish to vote at the Annual Meeting, you must obtain a proxy issued in your name from that agent in order to vote your shares that are held in such agent’s name and account.</w:t>
      </w:r>
    </w:p>
    <w:p>
      <w:pPr>
        <w:sectPr>
          <w:pgSz w:w="11900" w:h="16838" w:orient="portrait"/>
          <w:cols w:equalWidth="0" w:num="1">
            <w:col w:w="10300"/>
          </w:cols>
          <w:pgMar w:left="760" w:top="671" w:right="8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397510</wp:posOffset>
            </wp:positionV>
            <wp:extent cx="53492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145"/>
                    </a:xfrm>
                    <a:prstGeom prst="rect">
                      <a:avLst/>
                    </a:prstGeom>
                    <a:noFill/>
                  </pic:spPr>
                </pic:pic>
              </a:graphicData>
            </a:graphic>
          </wp:anchor>
        </w:drawing>
        <w:t>Table of Contents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0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27"/>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13"/>
        </w:trPr>
        <w:tc>
          <w:tcPr>
            <w:tcW w:w="65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3200" w:type="dxa"/>
            <w:vAlign w:val="bottom"/>
            <w:gridSpan w:val="5"/>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3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1 ELECTION OF DIRECTORS</w:t>
            </w:r>
          </w:p>
        </w:tc>
        <w:tc>
          <w:tcPr>
            <w:tcW w:w="6380" w:type="dxa"/>
            <w:vAlign w:val="bottom"/>
            <w:gridSpan w:val="15"/>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INFORMATION REGARDING THE BOARD OF DIRECTORS AND CORPORATE GOVERNANCE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63"/>
        </w:trPr>
        <w:tc>
          <w:tcPr>
            <w:tcW w:w="440" w:type="dxa"/>
            <w:vAlign w:val="bottom"/>
            <w:tcBorders>
              <w:top w:val="single" w:sz="8" w:color="0000FF"/>
            </w:tcBorders>
          </w:tcPr>
          <w:p>
            <w:pPr>
              <w:spacing w:after="0"/>
              <w:rPr>
                <w:sz w:val="22"/>
                <w:szCs w:val="22"/>
                <w:color w:val="auto"/>
              </w:rPr>
            </w:pPr>
          </w:p>
        </w:tc>
        <w:tc>
          <w:tcPr>
            <w:tcW w:w="28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Independence of the Board of Directors</w:t>
            </w:r>
          </w:p>
        </w:tc>
        <w:tc>
          <w:tcPr>
            <w:tcW w:w="4240" w:type="dxa"/>
            <w:vAlign w:val="bottom"/>
            <w:tcBorders>
              <w:top w:val="single" w:sz="8" w:color="0000FF"/>
            </w:tcBorders>
            <w:gridSpan w:val="14"/>
          </w:tcPr>
          <w:p>
            <w:pPr>
              <w:spacing w:after="0"/>
              <w:rPr>
                <w:sz w:val="22"/>
                <w:szCs w:val="22"/>
                <w:color w:val="auto"/>
              </w:rPr>
            </w:pPr>
          </w:p>
        </w:tc>
        <w:tc>
          <w:tcPr>
            <w:tcW w:w="21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88"/>
              </w:rPr>
              <w:t>10</w:t>
            </w:r>
          </w:p>
        </w:tc>
      </w:tr>
      <w:tr>
        <w:trPr>
          <w:trHeight w:val="264"/>
        </w:trPr>
        <w:tc>
          <w:tcPr>
            <w:tcW w:w="440" w:type="dxa"/>
            <w:vAlign w:val="bottom"/>
          </w:tcPr>
          <w:p>
            <w:pPr>
              <w:spacing w:after="0"/>
              <w:rPr>
                <w:sz w:val="22"/>
                <w:szCs w:val="22"/>
                <w:color w:val="auto"/>
              </w:rPr>
            </w:pPr>
          </w:p>
        </w:tc>
        <w:tc>
          <w:tcPr>
            <w:tcW w:w="9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2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Role of the Board in Risk Oversight</w:t>
            </w:r>
          </w:p>
        </w:tc>
        <w:tc>
          <w:tcPr>
            <w:tcW w:w="6660" w:type="dxa"/>
            <w:vAlign w:val="bottom"/>
            <w:gridSpan w:val="18"/>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440" w:type="dxa"/>
            <w:vAlign w:val="bottom"/>
          </w:tcPr>
          <w:p>
            <w:pPr>
              <w:spacing w:after="0"/>
              <w:rPr>
                <w:sz w:val="22"/>
                <w:szCs w:val="22"/>
                <w:color w:val="auto"/>
              </w:rPr>
            </w:pPr>
          </w:p>
        </w:tc>
        <w:tc>
          <w:tcPr>
            <w:tcW w:w="9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Meetings of the Board of Directors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44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Information Regarding Committees of the Board of Directors</w:t>
            </w:r>
          </w:p>
        </w:tc>
        <w:tc>
          <w:tcPr>
            <w:tcW w:w="4840" w:type="dxa"/>
            <w:vAlign w:val="bottom"/>
            <w:gridSpan w:val="7"/>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4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FF"/>
              </w:rPr>
              <w:t>Audit Committee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Compensation Committee</w:t>
            </w:r>
          </w:p>
        </w:tc>
        <w:tc>
          <w:tcPr>
            <w:tcW w:w="6940" w:type="dxa"/>
            <w:vAlign w:val="bottom"/>
            <w:gridSpan w:val="20"/>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70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Nominating and Corporate Governance Committee</w:t>
            </w:r>
          </w:p>
        </w:tc>
        <w:tc>
          <w:tcPr>
            <w:tcW w:w="5140" w:type="dxa"/>
            <w:vAlign w:val="bottom"/>
            <w:gridSpan w:val="9"/>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440" w:type="dxa"/>
            <w:vAlign w:val="bottom"/>
          </w:tcPr>
          <w:p>
            <w:pPr>
              <w:spacing w:after="0"/>
              <w:rPr>
                <w:sz w:val="22"/>
                <w:szCs w:val="22"/>
                <w:color w:val="auto"/>
              </w:rPr>
            </w:pPr>
          </w:p>
        </w:tc>
        <w:tc>
          <w:tcPr>
            <w:tcW w:w="9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4"/>
        </w:trPr>
        <w:tc>
          <w:tcPr>
            <w:tcW w:w="440" w:type="dxa"/>
            <w:vAlign w:val="bottom"/>
          </w:tcPr>
          <w:p>
            <w:pPr>
              <w:spacing w:after="0"/>
              <w:rPr>
                <w:sz w:val="22"/>
                <w:szCs w:val="22"/>
                <w:color w:val="auto"/>
              </w:rPr>
            </w:pPr>
          </w:p>
        </w:tc>
        <w:tc>
          <w:tcPr>
            <w:tcW w:w="41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Code of Ethics</w:t>
            </w:r>
          </w:p>
        </w:tc>
        <w:tc>
          <w:tcPr>
            <w:tcW w:w="5100" w:type="dxa"/>
            <w:vAlign w:val="bottom"/>
            <w:gridSpan w:val="8"/>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3"/>
        </w:trPr>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PROPOSAL 2 RATIFICATION OF SELECTION OF INDEPENDENT REGISTERED PUBLIC ACCOUNTING FIRM</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874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9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3"/>
        </w:trPr>
        <w:tc>
          <w:tcPr>
            <w:tcW w:w="6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960" w:type="dxa"/>
            <w:vAlign w:val="bottom"/>
            <w:gridSpan w:val="4"/>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4"/>
        </w:trPr>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240" w:type="dxa"/>
            <w:vAlign w:val="bottom"/>
            <w:gridSpan w:val="23"/>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440" w:type="dxa"/>
            <w:vAlign w:val="bottom"/>
          </w:tcPr>
          <w:p>
            <w:pPr>
              <w:spacing w:after="0"/>
              <w:rPr>
                <w:sz w:val="22"/>
                <w:szCs w:val="22"/>
                <w:color w:val="auto"/>
              </w:rPr>
            </w:pPr>
          </w:p>
        </w:tc>
        <w:tc>
          <w:tcPr>
            <w:tcW w:w="9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9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Outstanding Equity Awards at Fiscal Year-End</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440" w:type="dxa"/>
            <w:vAlign w:val="bottom"/>
          </w:tcPr>
          <w:p>
            <w:pPr>
              <w:spacing w:after="0"/>
              <w:rPr>
                <w:sz w:val="22"/>
                <w:szCs w:val="22"/>
                <w:color w:val="auto"/>
              </w:rPr>
            </w:pPr>
          </w:p>
        </w:tc>
        <w:tc>
          <w:tcPr>
            <w:tcW w:w="314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Narrative to Summary Compensation Table</w:t>
            </w:r>
          </w:p>
        </w:tc>
        <w:tc>
          <w:tcPr>
            <w:tcW w:w="220" w:type="dxa"/>
            <w:vAlign w:val="bottom"/>
            <w:tcBorders>
              <w:top w:val="single" w:sz="8" w:color="0000FF"/>
            </w:tcBorders>
          </w:tcPr>
          <w:p>
            <w:pPr>
              <w:spacing w:after="0"/>
              <w:rPr>
                <w:sz w:val="22"/>
                <w:szCs w:val="22"/>
                <w:color w:val="auto"/>
              </w:rPr>
            </w:pPr>
          </w:p>
        </w:tc>
        <w:tc>
          <w:tcPr>
            <w:tcW w:w="5900" w:type="dxa"/>
            <w:vAlign w:val="bottom"/>
            <w:gridSpan w:val="11"/>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440" w:type="dxa"/>
            <w:vAlign w:val="bottom"/>
          </w:tcPr>
          <w:p>
            <w:pPr>
              <w:spacing w:after="0"/>
              <w:rPr>
                <w:sz w:val="22"/>
                <w:szCs w:val="22"/>
                <w:color w:val="auto"/>
              </w:rPr>
            </w:pPr>
          </w:p>
        </w:tc>
        <w:tc>
          <w:tcPr>
            <w:tcW w:w="9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Director Compensation Table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30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Narrative to Director Compensation Table</w:t>
            </w:r>
          </w:p>
        </w:tc>
        <w:tc>
          <w:tcPr>
            <w:tcW w:w="6220" w:type="dxa"/>
            <w:vAlign w:val="bottom"/>
            <w:gridSpan w:val="13"/>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4"/>
        </w:trPr>
        <w:tc>
          <w:tcPr>
            <w:tcW w:w="69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SECURITIES AUTHORIZED FOR ISSUANCE UNDER EQUITY COMPENSATION PLANS</w:t>
            </w:r>
          </w:p>
        </w:tc>
        <w:tc>
          <w:tcPr>
            <w:tcW w:w="2720" w:type="dxa"/>
            <w:vAlign w:val="bottom"/>
            <w:gridSpan w:val="3"/>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3"/>
        </w:trPr>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TRANSACTIONS WITH RELATED PERSONS AND INDEMNIFICATION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4"/>
        </w:trPr>
        <w:tc>
          <w:tcPr>
            <w:tcW w:w="440" w:type="dxa"/>
            <w:vAlign w:val="bottom"/>
            <w:tcBorders>
              <w:top w:val="single" w:sz="8" w:color="0000FF"/>
            </w:tcBorders>
          </w:tcPr>
          <w:p>
            <w:pPr>
              <w:spacing w:after="0"/>
              <w:rPr>
                <w:sz w:val="22"/>
                <w:szCs w:val="22"/>
                <w:color w:val="auto"/>
              </w:rPr>
            </w:pPr>
          </w:p>
        </w:tc>
        <w:tc>
          <w:tcPr>
            <w:tcW w:w="52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Related-Person Transactions Policy and Procedures</w:t>
            </w:r>
          </w:p>
        </w:tc>
        <w:tc>
          <w:tcPr>
            <w:tcW w:w="4060" w:type="dxa"/>
            <w:vAlign w:val="bottom"/>
            <w:gridSpan w:val="6"/>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440" w:type="dxa"/>
            <w:vAlign w:val="bottom"/>
          </w:tcPr>
          <w:p>
            <w:pPr>
              <w:spacing w:after="0"/>
              <w:rPr>
                <w:sz w:val="22"/>
                <w:szCs w:val="22"/>
                <w:color w:val="auto"/>
              </w:rPr>
            </w:pPr>
          </w:p>
        </w:tc>
        <w:tc>
          <w:tcPr>
            <w:tcW w:w="37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Related-Person Transactions</w:t>
            </w:r>
          </w:p>
        </w:tc>
        <w:tc>
          <w:tcPr>
            <w:tcW w:w="5560" w:type="dxa"/>
            <w:vAlign w:val="bottom"/>
            <w:gridSpan w:val="10"/>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440" w:type="dxa"/>
            <w:vAlign w:val="bottom"/>
          </w:tcPr>
          <w:p>
            <w:pPr>
              <w:spacing w:after="0"/>
              <w:rPr>
                <w:sz w:val="22"/>
                <w:szCs w:val="22"/>
                <w:color w:val="auto"/>
              </w:rPr>
            </w:pPr>
          </w:p>
        </w:tc>
        <w:tc>
          <w:tcPr>
            <w:tcW w:w="26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Indemnification</w:t>
            </w:r>
          </w:p>
        </w:tc>
        <w:tc>
          <w:tcPr>
            <w:tcW w:w="6640" w:type="dxa"/>
            <w:vAlign w:val="bottom"/>
            <w:gridSpan w:val="17"/>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40" w:type="dxa"/>
            <w:vAlign w:val="bottom"/>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64"/>
        </w:trPr>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15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1900" w:type="dxa"/>
            <w:vAlign w:val="bottom"/>
            <w:tcBorders>
              <w:top w:val="single" w:sz="8" w:color="0000FF"/>
            </w:tcBorders>
            <w:gridSpan w:val="14"/>
          </w:tcPr>
          <w:p>
            <w:pPr>
              <w:spacing w:after="0"/>
              <w:rPr>
                <w:sz w:val="22"/>
                <w:szCs w:val="22"/>
                <w:color w:val="auto"/>
              </w:rPr>
            </w:pPr>
          </w:p>
        </w:tc>
        <w:tc>
          <w:tcPr>
            <w:tcW w:w="6300" w:type="dxa"/>
            <w:vAlign w:val="bottom"/>
            <w:gridSpan w:val="14"/>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ectPr>
          <w:pgSz w:w="11900" w:h="16838" w:orient="portrait"/>
          <w:cols w:equalWidth="0" w:num="1">
            <w:col w:w="11220"/>
          </w:cols>
          <w:pgMar w:left="320" w:top="80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20"/>
          </w:cols>
          <w:pgMar w:left="320" w:top="806" w:right="35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 North Beacon Street, 4</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 02134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6, 2022</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X4 Pharmaceuticals, Inc. (sometimes referred to as the “Company” or “X4”) is soliciting your proxy to vote at the 2022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mail the Notice on or about April 25, 2022 to all stockholders of record entitled to vote at the Annual Meeting.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May 5, 2022.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5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Annual Meeting will be held in person on Monday, June 6, 2022 at 11:00 a.m. Eastern Time at the offices of Cooley LLP, 500 Boylston Street, 14th Floor, Boston, Massachusetts 02116. Directions to the Annual Meeting may be found at http://www.proxydocs.com/XFOR. Information on how to vote in person at the Annual Meeting is discussed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health and safety protocols to attend the Annual Meeting?</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be mindful of the public health concerns posed by the COVID-19 pandemic. In-person attendance will require compliance with protocols consistent with then applicable federal, state and local guidelines, mandates or recommendations, as well as with requirements imposed by 500 Boylston building. You are required to be fully vaccinated in order to attend the Annual Meeting. You will be required to complete a health questionnaire attesting to your fully vaccinated status before you are admitted to the Annual Meeting. In addition, any person in attendance who does not comply with such measures, who exhibits cold or flu-like symptoms or who has been exposed to COVID-19, may be asked to leave the premises for the protection of the other attendees. To ensure the continued safety of all, once the Annual Meeting has concluded, all attendees will be asked to leave the premises as soon as possible. These measures are subject to change due to the fluidity of the public health situation, and we reserve the right to make adjustments, take any additional precautionary measures or impose any additional procedures or limitations on meeting attendees as we deem appropriate in relation to the physical meeting and access.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3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11, 2022 will be entitled to vote at the Annual Meeting. On this record date, there were 30,823,573 shares of common stock outstanding and entitled to vote. A list of stockholders entitled to vote at the Annual Meeting will be available at our principal executive offices for examination during normal business hours by any stockholder for any purpose germane to the Annual Meeting for a period of ten days prior to the Annual Meeting through the close of the Annual Meeting.</w:t>
      </w:r>
    </w:p>
    <w:p>
      <w:pPr>
        <w:sectPr>
          <w:pgSz w:w="11900" w:h="16838" w:orient="portrait"/>
          <w:cols w:equalWidth="0" w:num="1">
            <w:col w:w="11220"/>
          </w:cols>
          <w:pgMar w:left="320" w:top="1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1184"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If on April 11, 2022, your shares were registered directly in your name with our transfer agent, Computershare Trust Company, N.A., then you are a stockholder of record. As a stockholder of record, you may vote in person at the Annual Meeting or vote by proxy prior to the Annual Meeting. Whether or not you plan to attend the Annual Meeting, we urge you to vote by proxy electronically through the Internet, over the telephone or by completing and returning a printed proxy card that you may request or that we may elect to deliver at a later time to ensure your vote is counted.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on April 11, 2022,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in person at the Annual Meeting unless you request and obtain a valid proxy from your broker, bank or other agent.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two matters scheduled for a vote:</w:t>
      </w:r>
    </w:p>
    <w:p>
      <w:pPr>
        <w:spacing w:after="0" w:line="3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(2) directors to hold office until the 2025 Annual Meeting of Stockholders (Proposal 1); and</w:t>
      </w:r>
    </w:p>
    <w:p>
      <w:pPr>
        <w:spacing w:after="0" w:line="9" w:lineRule="exact"/>
        <w:rPr>
          <w:rFonts w:ascii="Times New Roman" w:cs="Times New Roman" w:eastAsia="Times New Roman" w:hAnsi="Times New Roman"/>
          <w:sz w:val="18"/>
          <w:szCs w:val="18"/>
          <w:color w:val="auto"/>
        </w:rPr>
      </w:pPr>
    </w:p>
    <w:p>
      <w:pPr>
        <w:ind w:left="660" w:right="160" w:hanging="328"/>
        <w:spacing w:after="0" w:line="29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PricewaterhouseCoopers LLP as our independent registered public accounting firm for our fiscal year ending December 31, 2022 (Proposal 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35"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Proposal 1, you may either vote “FOR” all the nominees to the Board or you may “WITHHOLD” your vote for any nominee you specify.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Proposal 2, you may vote “FOR” or “AGAINST” or abstain from voting.</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If you are a stockholder of record, you may vote in person at the Annual Meeting, vote by proxy through the Internet, vote by proxy over the telephone, or vote by proxy using a proxy card that you may request or that we may elect to deliver at a later time. Whether or not you plan to attend the Annual Meeting, we urge you to vote by proxy to ensure your vote is counted. You may still attend the Annual Meeting and vote in person even if you have already voted by proxy.</w:t>
      </w:r>
    </w:p>
    <w:p>
      <w:pPr>
        <w:spacing w:after="0" w:line="199" w:lineRule="exact"/>
        <w:rPr>
          <w:sz w:val="20"/>
          <w:szCs w:val="20"/>
          <w:color w:val="auto"/>
        </w:rPr>
      </w:pPr>
    </w:p>
    <w:p>
      <w:pPr>
        <w:ind w:left="660" w:right="80" w:hanging="328"/>
        <w:spacing w:after="0" w:line="27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Annual Meeting and we will give you a ballot when you arrive; however, due to the ongoing COVID-19 pandemic and related government guidelines, we urge our stockholders to monitor the applicable government guidelines and to not attend the Annual Meeting in person if the Commonwealth of Massachusetts implements any “stay-at-home” advisory, or if other applicable government guidelines continue to encourage people not to attend public gatherings.</w:t>
      </w:r>
    </w:p>
    <w:p>
      <w:pPr>
        <w:spacing w:after="0" w:line="131" w:lineRule="exact"/>
        <w:rPr>
          <w:rFonts w:ascii="Times New Roman" w:cs="Times New Roman" w:eastAsia="Times New Roman" w:hAnsi="Times New Roman"/>
          <w:sz w:val="18"/>
          <w:szCs w:val="18"/>
          <w:color w:val="auto"/>
        </w:rPr>
      </w:pPr>
    </w:p>
    <w:p>
      <w:pPr>
        <w:ind w:left="660" w:right="320" w:hanging="328"/>
        <w:spacing w:after="0" w:line="27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before the Annual Meeting, go to www.proxyvote.com to complete an electronic proxy card. You will be asked to provide the 16-digit control number from the Notice. Your Internet vote must be received by 11:59 p.m., Eastern Time, on June 5, 2022 to be counted.</w:t>
      </w:r>
    </w:p>
    <w:p>
      <w:pPr>
        <w:spacing w:after="0" w:line="74" w:lineRule="exact"/>
        <w:rPr>
          <w:rFonts w:ascii="Times New Roman" w:cs="Times New Roman" w:eastAsia="Times New Roman" w:hAnsi="Times New Roman"/>
          <w:sz w:val="18"/>
          <w:szCs w:val="18"/>
          <w:color w:val="auto"/>
        </w:rPr>
      </w:pPr>
    </w:p>
    <w:p>
      <w:pPr>
        <w:ind w:left="660" w:right="40" w:hanging="328"/>
        <w:spacing w:after="0" w:line="27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from a location in the United States, dial toll-free 1-800-690-6903 using a touch-tone phone and follow the recorded instructions. You will be asked to provide the control number from the Notice. Your telephone vote must be received by 11:59 p.m., Eastern Time, on June 5, 2022 to be counted.</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605" w:right="359" w:bottom="1440" w:gutter="0" w:footer="0" w:header="0"/>
        </w:sectPr>
      </w:pPr>
    </w:p>
    <w:bookmarkStart w:id="6" w:name="page7"/>
    <w:bookmarkEnd w:id="6"/>
    <w:p>
      <w:pPr>
        <w:ind w:left="660" w:right="300" w:hanging="328"/>
        <w:spacing w:after="0" w:line="29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using a printed proxy card that may be delivered to you, simply complete, sign and date the proxy card and return it promptly in the envelope provided. If you return your signed proxy card to us before the Annual Meeting, we will vote your shares as you direct.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us. Simply follow the voting instructions in the Notice to ensure that your vote is counted. To vote in person at the Annual Meeting, you must obtain a valid proxy from your broker, bank or other agent. Follow the instructions from your broker, bank or other agent included with these proxy materials, or contact that organization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15175"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462915"/>
                    </a:xfrm>
                    <a:prstGeom prst="rect">
                      <a:avLst/>
                    </a:prstGeom>
                    <a:noFill/>
                  </pic:spPr>
                </pic:pic>
              </a:graphicData>
            </a:graphic>
          </wp:anchor>
        </w:drawing>
      </w:r>
    </w:p>
    <w:p>
      <w:pPr>
        <w:spacing w:after="0" w:line="256" w:lineRule="exact"/>
        <w:rPr>
          <w:sz w:val="20"/>
          <w:szCs w:val="20"/>
          <w:color w:val="auto"/>
        </w:rPr>
      </w:pPr>
    </w:p>
    <w:p>
      <w:pPr>
        <w:ind w:left="140" w:right="240"/>
        <w:spacing w:after="0" w:line="268"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April 11, 2022.</w:t>
      </w:r>
    </w:p>
    <w:p>
      <w:pPr>
        <w:spacing w:after="0" w:line="343"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37"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a proxy card, by telephone, through the Internet or in person at the Annual Meeting, your shares will not be voted.</w:t>
      </w:r>
    </w:p>
    <w:p>
      <w:pPr>
        <w:spacing w:after="0" w:line="1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both nominees for director and “FOR” the ratification of the selection of our independent registered public accounting firm. If any other matter is properly presented at the Annual Meeting, your proxyholder (one of the individuals named on your proxy card) will vote your shares using his or her best judgment.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3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this proposal in the absence of your voting instructions. However, Proposal 2 is considered to be a “routine” matter under NYSE rules, meaning that if you do not return voting instructions to your broker by its deadline, your shares may be voted by your broker in its discretion on Proposal 2. Accordingly, if you own shares through a nominee, such as a broker, bank or other agent, please be sure to instruct your nominee how to vote to ensure that your vote is counted on all of the proposals.</w:t>
      </w:r>
    </w:p>
    <w:p>
      <w:pPr>
        <w:spacing w:after="0" w:line="301" w:lineRule="exact"/>
        <w:rPr>
          <w:sz w:val="20"/>
          <w:szCs w:val="20"/>
          <w:color w:val="auto"/>
        </w:rPr>
      </w:pPr>
    </w:p>
    <w:p>
      <w:pPr>
        <w:jc w:val="both"/>
        <w:ind w:right="360"/>
        <w:spacing w:after="0" w:line="33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you are a beneficial owner of shares held in street name, in order to ensure your shares are voted in the way you would prefer, you </w:t>
      </w:r>
      <w:r>
        <w:rPr>
          <w:rFonts w:ascii="Times New Roman" w:cs="Times New Roman" w:eastAsia="Times New Roman" w:hAnsi="Times New Roman"/>
          <w:sz w:val="17"/>
          <w:szCs w:val="17"/>
          <w:b w:val="1"/>
          <w:bCs w:val="1"/>
          <w:i w:val="1"/>
          <w:iCs w:val="1"/>
          <w:u w:val="single" w:color="auto"/>
          <w:color w:val="auto"/>
        </w:rPr>
        <w:t>must</w:t>
      </w:r>
      <w:r>
        <w:rPr>
          <w:rFonts w:ascii="Times New Roman" w:cs="Times New Roman" w:eastAsia="Times New Roman" w:hAnsi="Times New Roman"/>
          <w:sz w:val="17"/>
          <w:szCs w:val="17"/>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35"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may also reimburse brokerage firms, banks and other agents for the cost of forwarding proxy materials to beneficial owners.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6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of the Notices to ensure that all of your shares are voted.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136" w:lineRule="exact"/>
        <w:rPr>
          <w:sz w:val="20"/>
          <w:szCs w:val="20"/>
          <w:color w:val="auto"/>
        </w:rPr>
      </w:pPr>
    </w:p>
    <w:p>
      <w:pPr>
        <w:ind w:left="980" w:hanging="441"/>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 (which automatically revokes the earlier proxy).</w:t>
      </w:r>
    </w:p>
    <w:p>
      <w:pPr>
        <w:spacing w:after="0" w:line="319"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333" w:lineRule="exact"/>
        <w:rPr>
          <w:rFonts w:ascii="Times New Roman" w:cs="Times New Roman" w:eastAsia="Times New Roman" w:hAnsi="Times New Roman"/>
          <w:sz w:val="18"/>
          <w:szCs w:val="18"/>
          <w:color w:val="auto"/>
        </w:rPr>
      </w:pPr>
    </w:p>
    <w:p>
      <w:pPr>
        <w:ind w:left="980" w:right="1220" w:hanging="441"/>
        <w:spacing w:after="0" w:line="29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Corporate Secretary at 61 North Beacon Street, 4</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Floor, Boston, Massachusetts 02134.</w:t>
      </w:r>
    </w:p>
    <w:p>
      <w:pPr>
        <w:spacing w:after="0" w:line="243" w:lineRule="exact"/>
        <w:rPr>
          <w:rFonts w:ascii="Times New Roman" w:cs="Times New Roman" w:eastAsia="Times New Roman" w:hAnsi="Times New Roman"/>
          <w:sz w:val="18"/>
          <w:szCs w:val="18"/>
          <w:color w:val="auto"/>
        </w:rPr>
      </w:pPr>
    </w:p>
    <w:p>
      <w:pPr>
        <w:ind w:left="980" w:right="1240" w:hanging="441"/>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in person. Simply attending the Annual Meeting will not, by itself, revoke your proxy.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right="700"/>
        <w:spacing w:after="0" w:line="297"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26, 2022, to our Corporate Secretary, c/o X4 Pharmaceuticals, Inc., 61 North Beacon Street, 4</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Floor, Boston, Massachusetts 02134.</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bylaws also establish an advance notice procedure if you wish to present a proposal (including a director nomination) before an annual meeting of stockholders but you are not requesting that your proposal or nomination be included in next year’s proxy materials. To be timely for our 2023 Annual Meeting of Stockholders, our Corporate Secretary must receive the written notice at our principal executive offices not later than the close of business on March 8, 2023 nor earlier than the close of business on February 6, 2023. However, if we hold our 2023 Annual Meeting of Stockholders more than 30 days before or after June 6, 2023 (the one-year anniversary date of the 2022 Annual Meeting of Stockholders), then timely notice of a stockholder proposal that is not intended to be included in our proxy statement must be received not earlier than the close of business on the 120th day prior to the 2023 Annual Meeting of Stockholders and not later than the close of business on the later of (a) the 90th day prior to the 2023 Annual Meeting of Stockholders and</w:t>
      </w:r>
    </w:p>
    <w:p>
      <w:pPr>
        <w:spacing w:after="0" w:line="3" w:lineRule="exact"/>
        <w:rPr>
          <w:sz w:val="20"/>
          <w:szCs w:val="20"/>
          <w:color w:val="auto"/>
        </w:rPr>
      </w:pPr>
    </w:p>
    <w:p>
      <w:pPr>
        <w:jc w:val="both"/>
        <w:ind w:firstLine="8"/>
        <w:spacing w:after="0" w:line="271" w:lineRule="auto"/>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the one of the following first occurs: (i) mailing of notice of the date of the 2023 Annual Meeting of Stockholders and (ii) the first public announcement of the date of the 2023 Annual Meeting of Stockholders. You are also advised to review our bylaws, which contain additional requirements about advance notice of stockholder proposals and director nominations.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the proposal to elect directors (Proposal 1), votes “For,” “Withhold” and broker non-vote, and, with respect to Proposal 2, votes “For” and “Against,” abstentions and, if applicable, broker non-votes. Abstentions will be counted towards the vote total for Proposal 2 and will have the same effect as “Against” votes. Broker non-votes on Proposal 1 will have no effect and will not be counted towards the vote total for any of those proposals.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27" w:right="339" w:bottom="1440" w:gutter="0" w:footer="0" w:header="0"/>
        </w:sectPr>
      </w:pPr>
    </w:p>
    <w:bookmarkStart w:id="8" w:name="page9"/>
    <w:bookmarkEnd w:id="8"/>
    <w:p>
      <w:pPr>
        <w:ind w:right="60"/>
        <w:spacing w:after="0" w:line="271"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Proposal 1 is considered to be “non-routine” under NYSE rules and we therefore expect broker non-votes to exist in connection with that proposal.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reminder, if you are a beneficial owner of shares held in street name, in order to ensure your shares are voted in the way you would prefer,</w:t>
      </w:r>
    </w:p>
    <w:p>
      <w:pPr>
        <w:spacing w:after="0" w:line="3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ectPr>
          <w:pgSz w:w="11900" w:h="16838" w:orient="portrait"/>
          <w:cols w:equalWidth="0" w:num="1">
            <w:col w:w="11180"/>
          </w:cols>
          <w:pgMar w:left="320" w:top="715" w:right="399" w:bottom="1440" w:gutter="0" w:footer="0" w:header="0"/>
        </w:sectPr>
      </w:pPr>
    </w:p>
    <w:p>
      <w:pPr>
        <w:spacing w:after="0" w:line="340" w:lineRule="exact"/>
        <w:rPr>
          <w:sz w:val="20"/>
          <w:szCs w:val="20"/>
          <w:color w:val="auto"/>
        </w:rPr>
      </w:pPr>
    </w:p>
    <w:p>
      <w:pPr>
        <w:ind w:left="20"/>
        <w:spacing w:after="0" w:line="305" w:lineRule="auto"/>
        <w:rPr>
          <w:sz w:val="20"/>
          <w:szCs w:val="20"/>
          <w:color w:val="auto"/>
        </w:rPr>
      </w:pPr>
      <w:r>
        <w:rPr>
          <w:rFonts w:ascii="Times New Roman" w:cs="Times New Roman" w:eastAsia="Times New Roman" w:hAnsi="Times New Roman"/>
          <w:sz w:val="14"/>
          <w:szCs w:val="14"/>
          <w:b w:val="1"/>
          <w:bCs w:val="1"/>
          <w:color w:val="auto"/>
        </w:rPr>
        <w:t>Proposal Number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wp:posOffset>
            </wp:positionV>
            <wp:extent cx="1920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Ratification of the selection of PricewaterhouseCoopers LLP as our independent registered public accounting firm for the year ending December 31, 2022</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 Broker</w:t>
            </w:r>
          </w:p>
        </w:tc>
      </w:tr>
      <w:tr>
        <w:trPr>
          <w:trHeight w:val="204"/>
        </w:trPr>
        <w:tc>
          <w:tcPr>
            <w:tcW w:w="362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3"/>
        </w:trPr>
        <w:tc>
          <w:tcPr>
            <w:tcW w:w="3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8"/>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two nominees receiving the most “For”</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effect</w:t>
            </w:r>
          </w:p>
        </w:tc>
      </w:tr>
      <w:tr>
        <w:trPr>
          <w:trHeight w:val="23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votes; withheld votes will have no effect.</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affirmative vote of a majority of the votes</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Not applicable </w:t>
            </w:r>
            <w:r>
              <w:rPr>
                <w:rFonts w:ascii="Times New Roman" w:cs="Times New Roman" w:eastAsia="Times New Roman" w:hAnsi="Times New Roman"/>
                <w:sz w:val="23"/>
                <w:szCs w:val="23"/>
                <w:color w:val="auto"/>
                <w:vertAlign w:val="superscript"/>
              </w:rPr>
              <w:t>(1)</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cast by the holders of shares present in person</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 by proxy and entitled to vote at the Annual</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337" w:lineRule="exact"/>
        <w:rPr>
          <w:sz w:val="20"/>
          <w:szCs w:val="20"/>
          <w:color w:val="auto"/>
        </w:rPr>
      </w:pPr>
    </w:p>
    <w:p>
      <w:pPr>
        <w:sectPr>
          <w:pgSz w:w="11900" w:h="16838" w:orient="portrait"/>
          <w:cols w:equalWidth="0" w:num="3">
            <w:col w:w="560" w:space="460"/>
            <w:col w:w="2960" w:space="220"/>
            <w:col w:w="6980"/>
          </w:cols>
          <w:pgMar w:left="320" w:top="715" w:right="399" w:bottom="1440" w:gutter="0" w:footer="0" w:header="0"/>
          <w:type w:val="continuous"/>
        </w:sectPr>
      </w:pPr>
    </w:p>
    <w:p>
      <w:pPr>
        <w:ind w:right="220" w:firstLine="8"/>
        <w:spacing w:after="0" w:line="306" w:lineRule="auto"/>
        <w:tabs>
          <w:tab w:leader="none" w:pos="149"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Proposal 2 is considered to be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3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 xml:space="preserve">A quorum of stockholders is necessary to hold a valid meeting. A quorum will be present if stockholders holding at least a majority in voting power of the outstanding shares entitled to vote are present at the Annual Meeting in person or represented by proxy. On the record date, there were 30,823,573 shares outstanding and entitled to vote. </w:t>
      </w:r>
      <w:r>
        <w:rPr>
          <w:rFonts w:ascii="Times New Roman" w:cs="Times New Roman" w:eastAsia="Times New Roman" w:hAnsi="Times New Roman"/>
          <w:sz w:val="18"/>
          <w:szCs w:val="18"/>
          <w:b w:val="1"/>
          <w:bCs w:val="1"/>
          <w:color w:val="auto"/>
        </w:rPr>
        <w:t>Thus, the holders of 15,411,787 shares must be present in person or represented by proxy at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to have a quorum.</w:t>
      </w:r>
    </w:p>
    <w:p>
      <w:pPr>
        <w:spacing w:after="0" w:line="17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Annual Meeting. Abstentions and broker non-votes will be counted towards the quorum requirement. If there is no quorum, the holders of a majority of shares present at the Annual Meeting in person or represented by proxy may adjourn the Annual Meeting to another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715" w:right="39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Board presently has eight members. There are two directors in the class whose term of office expires at our Annual Meeting: William E. Aliski, MPA and Allison Lawton. If elected at the Annual Meeting, each of these nominees would serve until the 2025 annual meeting and until his or her successor has been duly elected and qualified, or, if sooner, until the director’s death, resignation or removal. It is our policy that all directors and nominees for director make every effort to attend the Annual Meeting. All of the then-serving directors attended the 2021 Annual Meeting of stockholders, which was held in virtual format.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by remote communication, as applicable,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nominee becomes unavailable for election as a result of an unexpected occurrence, shares that would have been voted for that nominee will instead be voted for the election of a substitute nominee proposed by us. Each person nominated for election has agreed to serve if elected. We have no reason to believe that any nominee will be unable to serve.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 and Continuing Directors</w:t>
      </w:r>
    </w:p>
    <w:p>
      <w:pPr>
        <w:spacing w:after="0" w:line="13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following is a brief biography and the ages of each nominee and each director whose term will continue after the Annual Meeting,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182"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nominees. There is no arrangement or understanding between any of our directors or nominees and any other person or persons pursuant to which he or she is to be selected as a director or nominee.</w:t>
      </w:r>
    </w:p>
    <w:p>
      <w:pPr>
        <w:spacing w:after="0" w:line="14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There are no legal proceedings to which any of our directors is a party adverse to us or any of our subsidiaries or in which any such person has a material interest adverse to us or any of our subsidiaries.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a Class II Director for a Three-Year Term Expiring at the 2025 Annual Meeting of Stockholders</w:t>
      </w:r>
    </w:p>
    <w:p>
      <w:pPr>
        <w:spacing w:after="0" w:line="36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William E. Aliski, MPA</w:t>
      </w:r>
      <w:r>
        <w:rPr>
          <w:rFonts w:ascii="Times New Roman" w:cs="Times New Roman" w:eastAsia="Times New Roman" w:hAnsi="Times New Roman"/>
          <w:sz w:val="17"/>
          <w:szCs w:val="17"/>
          <w:color w:val="auto"/>
        </w:rPr>
        <w:t>, age 74, has served as a member of our Board since September 2019. Since 2011, Mr. Aliski has served as an independent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consultant to life sciences companies focused on orphan diseases. Prior to 2011, he served as Chief Commercial Officer for FoldRX Pharmaceuticals, an early stage company purchased by Pfizer in 2011, served as General Manager for Biomarin Europe, a biopharmaceutical company focused on rare diseases with genetic causes, and held executive level positions at Transkaryotic Therapies (TKT)/Shire and Genzyme Corp., both biopharmaceutical companies. Currently, Mr. Aliski serves as a member of the boards of directors of Ultragenyx Pharmaceutical Inc. and Applied Genetic Therapies Corporation.</w:t>
      </w:r>
    </w:p>
    <w:p>
      <w:pPr>
        <w:spacing w:after="0" w:line="1"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8"/>
          <w:szCs w:val="18"/>
          <w:color w:val="auto"/>
        </w:rPr>
        <w:t>Mr. Aliski holds a M.P.A. from Harvard University and a Master of Social Planning from Boston College. We believe that Mr. Aliski’s experience, in both consulting and operational roles, with life sciences companies focused on orphan diseases, as well as his public company board experience, qualify him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846" w:right="359" w:bottom="1440" w:gutter="0" w:footer="0" w:header="0"/>
        </w:sectPr>
      </w:pPr>
    </w:p>
    <w:bookmarkStart w:id="10" w:name="page11"/>
    <w:bookmarkEnd w:id="10"/>
    <w:p>
      <w:pPr>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Alison Lawton</w:t>
      </w:r>
      <w:r>
        <w:rPr>
          <w:rFonts w:ascii="Times New Roman" w:cs="Times New Roman" w:eastAsia="Times New Roman" w:hAnsi="Times New Roman"/>
          <w:sz w:val="18"/>
          <w:szCs w:val="18"/>
          <w:color w:val="auto"/>
        </w:rPr>
        <w:t>, age 60, has served as a member of our Board since October 5, 2020. Ms. Lawton is an executive leader with more than 30 years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biopharma and most recently served as the President and Chief Executive Officer of Kaleido Biosciences from August 2018 to June 2020, and prior to then as its President and Chief Operating Officer from December 2017 to August 2018. Prior to joining Kaleido Biosciences, Ms. Lawton served as Chief Operating Officer at Aura Biosciences, Inc., an oncology therapeutics company, from January 2015 until December 2017, and, prior to joining Aura, served as a consultant to Aura from March 2014 to December 2014. Before that, Ms. Lawton served as Chief Operating Officer at OvaScience Inc., a life sciences company, from January 2013 to January 2014. In addition, from 2014 to 2017, Ms. Lawton served as a biotech consultant for various companies, including as a part-time Chief Operating Officer consultant to the Company from 2014 to 2016. Prior to that, Ms. Lawton spent more than 20 years in various positions of increasing responsibility at Genzyme Corporation, a global biopharmaceutical company, and subsequently at Sanofi S.A., also a global biopharmaceutical company, following the acquisition of Genzyme by Sanofi in 2011. Ms. Lawton currently serves as a member of the board of directors of ProQR Therapeutics N.V., Aeglea Biotherapeutics, Magenta Therapeutics and two other nonpublic companies. Ms. Lawton previously served as a member of the board of directors of Verastem Inc., from 2012 to 2020, CoLucid Pharmaceuticals, Inc. from 2016 until its acquisition by Eli Lilly in 2017 and Cubist Pharmaceuticals until its acquisition by Merck &amp; Co. She holds a B.Sc. in pharmacology from Kings College, University of London. We believe that Ms. Lawton’s experience as a senior executive in the pharmaceutical and biotechnology industries qualify her to serve on our Board.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OMINEE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2023 Annual Meeting of Stockholders</w:t>
      </w:r>
    </w:p>
    <w:p>
      <w:pPr>
        <w:spacing w:after="0" w:line="26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Gary J. Bridger, Ph.D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age 59, became a member of the board of directors of X4 Pharmaceuticals, Inc., a private company, in October 2018 and continues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serve as a member of our Board following the completion of the Merger in March 2019. From February 2015 to December 2017, Dr. Bridger served as a consultant to Xenon Pharmaceuticals Inc., a biopharmaceutical company, where he previously served as the Executive Vice President of Research and Development from January 2013 to February 2015. From October 2013 to October 2015, Dr. Bridger served as a Managing Director at Five Corners Capital Inc. From June 2010 to June 2012, Dr. Bridger served as a venture partner at Venture West Capital Management, a venture capital firm. From November 2006 to December 2007, Dr. Bridger served as Senior Vice President of Research and Development of Genzyme Corporation, a biotechnology company, which was acquired by Sanofi, S.A. In June 1996, Dr. Bridger co-founded AnorMED Inc., a biopharmaceutical company, and was its Vice President of Research and Development and Chief Scientific Officer from 2000 until its acquisition by Genzyme in November 2006. Dr. Bridger has served on the board of directors of Aquinox Pharmaceuticals, Inc., a pharmaceutical company, since 2013, has served on the board of directors of Liminal BioSciences Inc., a biotechnology company, since May 2019, and previously served on the board of directors of Alder BioPharmaceuticals, Inc., a biopharmaceutical company, from 2013 to 2016. Dr. Bridger serves on the board of directors of Expansion Therapeutics and on the scientific advisory board of Alectos Therapeutics Inc., a biopharmaceutical company. Dr. Bridger holds a Ph.D. in Organic Chemistry from the University of Manchester Institute of Science and Technology. We believe that Dr. Bridger’s experience as an executive officer or director of several public and private life sciences companies provides him with the qualifications and skills to serve on our Board.</w:t>
      </w:r>
    </w:p>
    <w:p>
      <w:pPr>
        <w:spacing w:after="0" w:line="201"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Francoise de Craecker</w:t>
      </w:r>
      <w:r>
        <w:rPr>
          <w:rFonts w:ascii="Times New Roman" w:cs="Times New Roman" w:eastAsia="Times New Roman" w:hAnsi="Times New Roman"/>
          <w:sz w:val="18"/>
          <w:szCs w:val="18"/>
          <w:color w:val="auto"/>
        </w:rPr>
        <w:t>, age 60, has served as a member of our Board since October 14, 2021. Ms. de Craecker has served as an Independent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Gensight Biologics, a biopharma company focused on developing and commercializing innovative gene therapies for retinal neurodegenerative diseases</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and central nervous system disorders, since May 2021. Previously, from January 2018 to August 2019, Ms. de Craecker was the General Manager of the Europe, Middle East &amp; Africa region at AveXis (now Novartis Gene Therapies), a biotechnology company that develops and commercializes gene therapies for rare and life-threatening neurological genetic disorders. From August 2014 to December 2017, Ms. de Craecker served as Senior Vice President and General Manager of the Europe, Middle East &amp; Africa region at Raptor Pharmaceuticals, a biopharmaceutical company since acquired by Horizon Pharmaceuticals and after by Chiesi Farmaceutici. Earlier in her career, Ms. de Craecker held multiple positions of increasing responsibility and in diverse geographies at Shire Human Genetics Rare Disease Business Unit (previously Transkaryotic Therapies), from October 2000 to March 2014, including Vice President and General Manager of Europe, Vice President and General Manager of Northern Europe, Senior Director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46" w:right="339" w:bottom="1440" w:gutter="0" w:footer="0" w:header="0"/>
        </w:sectPr>
      </w:pPr>
    </w:p>
    <w:bookmarkStart w:id="11" w:name="page12"/>
    <w:bookmarkEnd w:id="11"/>
    <w:p>
      <w:pPr>
        <w:ind w:right="420"/>
        <w:spacing w:after="0" w:line="297" w:lineRule="auto"/>
        <w:rPr>
          <w:sz w:val="20"/>
          <w:szCs w:val="20"/>
          <w:color w:val="auto"/>
        </w:rPr>
      </w:pPr>
      <w:r>
        <w:rPr>
          <w:rFonts w:ascii="Times New Roman" w:cs="Times New Roman" w:eastAsia="Times New Roman" w:hAnsi="Times New Roman"/>
          <w:sz w:val="18"/>
          <w:szCs w:val="18"/>
          <w:color w:val="auto"/>
        </w:rPr>
        <w:t>European Mid-Sized Countries and Global Fabry Disease Franchise Lead. Ms. de Craecker received her Masters in Nutrition Science from Faculty of Medicine of the University of Leuven (Belgium).</w:t>
      </w:r>
    </w:p>
    <w:p>
      <w:pPr>
        <w:spacing w:after="0" w:line="14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Murray W. Stewart, M.D.</w:t>
      </w:r>
      <w:r>
        <w:rPr>
          <w:rFonts w:ascii="Times New Roman" w:cs="Times New Roman" w:eastAsia="Times New Roman" w:hAnsi="Times New Roman"/>
          <w:sz w:val="18"/>
          <w:szCs w:val="18"/>
          <w:color w:val="auto"/>
        </w:rPr>
        <w:t>, age 61, has served as a member of our Board since March 2019. Dr. Stewart has served as Chief Medical Officer of Rhythm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a biopharmaceutical company focused on developing and commercializing therapies for the treatment of rare genetic disorders of obesity, since October 2018. He previously served as Head of Research and Development for Novelion Therapeutics Inc., a biopharmaceutical company focused on developing new standards of care for individuals living with rare disease, from November 2017 to October 2018. Prior to that, Dr. Stewart held various positions of increasing responsibility at GlaxoSmithKline, including serving as Chief Medical Officer from April 2014 to November 2017, with global responsibility for patient well-being across the vaccine, pharmaceutical, and consumer business units. He also held multiple research and development leadership roles, including Chief Medical Officer for the pharmaceutical business, Clinical Head of the Biopharma Unit, and Therapy Area Head for metabolic and cardiovascular diseases. Prior to his tenure to joining GlaxoSmithKline, he worked as a consultant physician and honorary senior lecturer at the Diabetes Center in Newcastle upon Tyne in the United Kingdom. Dr. Stewart holds an M.D. from Southampton Medical School and is a Fellow of the Royal College of Physicians. We believe that Dr. Stewart’s extensive biopharmaceutical leadership experience, including experience in research, clinical development and regulatory strategy, provide him with the qualifications and skills to serve on our Board.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2024 Annual Meeting of Stockholders</w:t>
      </w:r>
    </w:p>
    <w:p>
      <w:pPr>
        <w:spacing w:after="0" w:line="2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David McGirr, M.B.A.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 67, became a member of the board of directors of Arsanis, Inc. in September 2017 and continues to serve as a member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following the completion of the Merger in March 2019. From March 2013 until June 2014, Mr. McGirr was Senior Advisor to the chief executive officer of Cubist Pharmaceuticals, Inc., a biopharmaceutical company where he also served as Senior Vice President and Chief Financial Officer from November 2002 to March 2013. Prior to joining Cubist in 2002, Mr. McGirr was the President and Chief Operating Officer of hippo inc., a venture-financed internet technology company. From 1996 to 1999, he was the President of GAB Robins North America, Inc., a risk management company, serving also as Chief Executive Officer from 1997 to 1999. Mr. McGirr was a private equity investor from 1995 to 1996. From 1978 to 1995, Mr. McGirr served in various positions within the S.G. Warburg Group, ultimately as Chief Financial Officer, Chief Administrative Officer and Managing Director of S.G. Warburg &amp; Co., Inc., a position held from 1992 to 1995. Mr. McGirr is currently a member of the board of directors of Insmed Incorporated, a publicly traded biopharmaceutical company, where he has served since October 2013, and Rhythm Pharmaceuticals, Inc., a publicly traded biopharmaceutical company, where he has served since November 2015. Mr. McGirr previously served on the board of directors of Roka Bioscience, Inc., a molecular diagnostics company, from December 2013 to January 2018 and Menlo Therapeutics, Inc., a publicly traded biopharmaceutical company, from November 2017 until its merger with Foamix Pharmaceuticals, Ltd., another publicly traded biopharmaceutical company, in March 2019. Mr. McGirr received a B.Sc. in Civil Engineering from the University of Glasgow and received an M.B.A. from The Wharton School at the University of Pennsylvania. We believe that Mr. McGirr’s extensive experience with public and private pharmaceutical companies provides him with the qualifications and skills to serve on our Board.</w:t>
      </w:r>
    </w:p>
    <w:p>
      <w:pPr>
        <w:spacing w:after="0" w:line="31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Paula Ragan, Ph.D.</w:t>
      </w:r>
      <w:r>
        <w:rPr>
          <w:rFonts w:ascii="Times New Roman" w:cs="Times New Roman" w:eastAsia="Times New Roman" w:hAnsi="Times New Roman"/>
          <w:sz w:val="18"/>
          <w:szCs w:val="18"/>
          <w:color w:val="auto"/>
        </w:rPr>
        <w:t>, age 52, has served as our President, Chief Executive Officer, Secretary and a member of our board of directors since July 2014.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joining us, from August 2012 to September 2014, Dr. Ragan consulted as Chief Business Officer at Lysosomal Therapeutics Inc., a private biopharmaceutical company, where she led the company’s business development activities. Prior to then, from January 2007 to August 2012, Dr. Ragan held leadership roles in corporate development and operations at Genzyme Corporation, a Sanofi company, where she led strategic partnering efforts for Genzyme’s Rare Disease business and headed the supply chain planning for Genzyme’s flagship commercial products. Other professional roles include business roles at Hydra Biosciences, Oscient Corporation and Celera Corporation. Dr. Ragan received her B.S. from Tufts University and her Ph.D. from Massachusetts Institute of Technology and completed post-doctoral studies at Harvard Medical School. We believe that Dr. Ragan’s perspective and experience as our President and Chief Executive Officer, which provides the Board with historic knowledge, operational expertise and continuity, provides her with the qualifications and skills to serve on our Board.</w:t>
      </w:r>
    </w:p>
    <w:p>
      <w:pPr>
        <w:spacing w:after="0" w:line="21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Michael S. Wyzga</w:t>
      </w:r>
      <w:r>
        <w:rPr>
          <w:rFonts w:ascii="Times New Roman" w:cs="Times New Roman" w:eastAsia="Times New Roman" w:hAnsi="Times New Roman"/>
          <w:sz w:val="18"/>
          <w:szCs w:val="18"/>
          <w:color w:val="auto"/>
        </w:rPr>
        <w:t>, age 67, became a member of the board of directors of X4 Pharmaceuticals, Inc., a private company, in July 2018 and continues to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member of our Board and our Chairman following the completion of the Merger in March 2019. Mr. Wyzga is currently the President of MSW Consulting Inc., a strategic consulting group focused in the life sciences area. From December 2011 until November 2013, Mr. Wyzga served as President and Chief Executive Officer and a member of the board of directors of Radius Health, Inc., a publicly traded biopharmaceutical company. Prior to that,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607" w:right="359" w:bottom="1440" w:gutter="0" w:footer="0" w:header="0"/>
        </w:sectPr>
      </w:pPr>
    </w:p>
    <w:bookmarkStart w:id="12" w:name="page13"/>
    <w:bookmarkEnd w:id="12"/>
    <w:p>
      <w:pPr>
        <w:spacing w:after="0" w:line="264" w:lineRule="auto"/>
        <w:rPr>
          <w:sz w:val="20"/>
          <w:szCs w:val="20"/>
          <w:color w:val="auto"/>
        </w:rPr>
      </w:pPr>
      <w:r>
        <w:rPr>
          <w:rFonts w:ascii="Times New Roman" w:cs="Times New Roman" w:eastAsia="Times New Roman" w:hAnsi="Times New Roman"/>
          <w:sz w:val="18"/>
          <w:szCs w:val="18"/>
          <w:color w:val="auto"/>
        </w:rPr>
        <w:t>Mr. Wyzga served in various senior management positions at Genzyme Corporation, a publicly traded global biotechnology company. Mr. Wyzga joined Genzyme in February 1998 and most recently served as Executive Vice President, Finance from May 2003 until November 2011 and as chief financial officer from July 1999 until November 2011. Mr. Wyzga is also a member of the boards of directors of Exact Sciences Corporation, a publicly traded medical technology company, where he has served since February 2015; LogicBio Therapeutics, Inc., a publicly traded genetic medicines company, where he has served since September 2018; GenSight Biologics S.A., a Euronext traded biopharmaceutical company, where he has served since February 2016 and currently holds the position as chairman of the board of directors. He previously served at Mereo BioPharma Group plc (formerly Oncomed Pharmaceuticals, Inc.), where he served from October 2013 through the business combination in April 2019 and Akebia Therapeutics, Inc., a publicly traded biopharmaceutical company, from February 2014 to December 2018. He received an M.B.A. from Providence College and a B.S. from Suffolk University. We believe that Mr. Wyzga’s senior management experience at biopharmaceutical and biotechnology companies, his current and past experience on boards of directors of public companies, and his financial expertise qualify him to serve as a member of our Board.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951980" cy="2854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1980" cy="2854960"/>
                    </a:xfrm>
                    <a:prstGeom prst="rect">
                      <a:avLst/>
                    </a:prstGeom>
                    <a:noFill/>
                  </pic:spPr>
                </pic:pic>
              </a:graphicData>
            </a:graphic>
          </wp:anchor>
        </w:drawing>
      </w:r>
    </w:p>
    <w:p>
      <w:pPr>
        <w:spacing w:after="0" w:line="2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25, 2022)</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5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2"/>
          </w:tcPr>
          <w:p>
            <w:pPr>
              <w:jc w:val="center"/>
              <w:ind w:right="1150"/>
              <w:spacing w:after="0"/>
              <w:rPr>
                <w:sz w:val="20"/>
                <w:szCs w:val="20"/>
                <w:color w:val="auto"/>
              </w:rPr>
            </w:pPr>
            <w:r>
              <w:rPr>
                <w:rFonts w:ascii="Times New Roman" w:cs="Times New Roman" w:eastAsia="Times New Roman" w:hAnsi="Times New Roman"/>
                <w:sz w:val="18"/>
                <w:szCs w:val="18"/>
                <w:color w:val="auto"/>
                <w:w w:val="88"/>
              </w:rPr>
              <w:t>8</w:t>
            </w:r>
          </w:p>
        </w:tc>
        <w:tc>
          <w:tcPr>
            <w:tcW w:w="1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7"/>
        </w:trPr>
        <w:tc>
          <w:tcPr>
            <w:tcW w:w="4700" w:type="dxa"/>
            <w:vAlign w:val="bottom"/>
            <w:tcBorders>
              <w:right w:val="single" w:sz="8" w:color="auto"/>
            </w:tcBorders>
            <w:shd w:val="clear" w:color="auto" w:fill="D9D9D9"/>
          </w:tcPr>
          <w:p>
            <w:pPr>
              <w:spacing w:after="0"/>
              <w:rPr>
                <w:sz w:val="16"/>
                <w:szCs w:val="16"/>
                <w:color w:val="auto"/>
              </w:rPr>
            </w:pPr>
          </w:p>
        </w:tc>
        <w:tc>
          <w:tcPr>
            <w:tcW w:w="1560" w:type="dxa"/>
            <w:vAlign w:val="bottom"/>
            <w:tcBorders>
              <w:right w:val="single" w:sz="8" w:color="auto"/>
            </w:tcBorders>
            <w:shd w:val="clear" w:color="auto" w:fill="D9D9D9"/>
          </w:tcPr>
          <w:p>
            <w:pPr>
              <w:ind w:left="480"/>
              <w:spacing w:after="0" w:line="188" w:lineRule="exact"/>
              <w:rPr>
                <w:sz w:val="20"/>
                <w:szCs w:val="20"/>
                <w:color w:val="auto"/>
              </w:rPr>
            </w:pPr>
            <w:r>
              <w:rPr>
                <w:rFonts w:ascii="Times New Roman" w:cs="Times New Roman" w:eastAsia="Times New Roman" w:hAnsi="Times New Roman"/>
                <w:sz w:val="18"/>
                <w:szCs w:val="18"/>
                <w:b w:val="1"/>
                <w:bCs w:val="1"/>
                <w:color w:val="auto"/>
              </w:rPr>
              <w:t>Female</w:t>
            </w:r>
          </w:p>
        </w:tc>
        <w:tc>
          <w:tcPr>
            <w:tcW w:w="1220" w:type="dxa"/>
            <w:vAlign w:val="bottom"/>
            <w:shd w:val="clear" w:color="auto" w:fill="D9D9D9"/>
          </w:tcPr>
          <w:p>
            <w:pPr>
              <w:ind w:left="580"/>
              <w:spacing w:after="0" w:line="188" w:lineRule="exact"/>
              <w:rPr>
                <w:sz w:val="20"/>
                <w:szCs w:val="20"/>
                <w:color w:val="auto"/>
              </w:rPr>
            </w:pPr>
            <w:r>
              <w:rPr>
                <w:rFonts w:ascii="Times New Roman" w:cs="Times New Roman" w:eastAsia="Times New Roman" w:hAnsi="Times New Roman"/>
                <w:sz w:val="18"/>
                <w:szCs w:val="18"/>
                <w:b w:val="1"/>
                <w:bCs w:val="1"/>
                <w:color w:val="auto"/>
              </w:rPr>
              <w:t>Male</w:t>
            </w:r>
          </w:p>
        </w:tc>
        <w:tc>
          <w:tcPr>
            <w:tcW w:w="360" w:type="dxa"/>
            <w:vAlign w:val="bottom"/>
            <w:tcBorders>
              <w:right w:val="single" w:sz="8" w:color="auto"/>
            </w:tcBorders>
            <w:shd w:val="clear" w:color="auto" w:fill="D9D9D9"/>
          </w:tcPr>
          <w:p>
            <w:pPr>
              <w:spacing w:after="0"/>
              <w:rPr>
                <w:sz w:val="16"/>
                <w:szCs w:val="16"/>
                <w:color w:val="auto"/>
              </w:rPr>
            </w:pPr>
          </w:p>
        </w:tc>
        <w:tc>
          <w:tcPr>
            <w:tcW w:w="156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54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Did Not</w:t>
            </w:r>
          </w:p>
        </w:tc>
        <w:tc>
          <w:tcPr>
            <w:tcW w:w="20" w:type="dxa"/>
            <w:vAlign w:val="bottom"/>
          </w:tcPr>
          <w:p>
            <w:pPr>
              <w:spacing w:after="0"/>
              <w:rPr>
                <w:sz w:val="16"/>
                <w:szCs w:val="16"/>
                <w:color w:val="auto"/>
              </w:rPr>
            </w:pPr>
          </w:p>
        </w:tc>
      </w:tr>
      <w:tr>
        <w:trPr>
          <w:trHeight w:val="203"/>
        </w:trPr>
        <w:tc>
          <w:tcPr>
            <w:tcW w:w="4700" w:type="dxa"/>
            <w:vAlign w:val="bottom"/>
            <w:tcBorders>
              <w:right w:val="single" w:sz="8" w:color="auto"/>
            </w:tcBorders>
            <w:shd w:val="clear" w:color="auto" w:fill="D9D9D9"/>
          </w:tcPr>
          <w:p>
            <w:pPr>
              <w:spacing w:after="0"/>
              <w:rPr>
                <w:sz w:val="17"/>
                <w:szCs w:val="17"/>
                <w:color w:val="auto"/>
              </w:rPr>
            </w:pPr>
          </w:p>
        </w:tc>
        <w:tc>
          <w:tcPr>
            <w:tcW w:w="1560" w:type="dxa"/>
            <w:vAlign w:val="bottom"/>
            <w:tcBorders>
              <w:right w:val="single" w:sz="8" w:color="auto"/>
            </w:tcBorders>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360" w:type="dxa"/>
            <w:vAlign w:val="bottom"/>
            <w:tcBorders>
              <w:right w:val="single" w:sz="8" w:color="auto"/>
            </w:tcBorders>
            <w:shd w:val="clear" w:color="auto" w:fill="D9D9D9"/>
          </w:tcPr>
          <w:p>
            <w:pPr>
              <w:spacing w:after="0"/>
              <w:rPr>
                <w:sz w:val="17"/>
                <w:szCs w:val="17"/>
                <w:color w:val="auto"/>
              </w:rPr>
            </w:pPr>
          </w:p>
        </w:tc>
        <w:tc>
          <w:tcPr>
            <w:tcW w:w="1560" w:type="dxa"/>
            <w:vAlign w:val="bottom"/>
            <w:tcBorders>
              <w:right w:val="single" w:sz="8" w:color="auto"/>
            </w:tcBorders>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Binary</w:t>
            </w:r>
          </w:p>
        </w:tc>
        <w:tc>
          <w:tcPr>
            <w:tcW w:w="1540" w:type="dxa"/>
            <w:vAlign w:val="bottom"/>
            <w:shd w:val="clear" w:color="auto" w:fill="D9D9D9"/>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Disclose</w:t>
            </w:r>
          </w:p>
        </w:tc>
        <w:tc>
          <w:tcPr>
            <w:tcW w:w="20" w:type="dxa"/>
            <w:vAlign w:val="bottom"/>
          </w:tcPr>
          <w:p>
            <w:pPr>
              <w:spacing w:after="0"/>
              <w:rPr>
                <w:sz w:val="17"/>
                <w:szCs w:val="17"/>
                <w:color w:val="auto"/>
              </w:rPr>
            </w:pPr>
          </w:p>
        </w:tc>
      </w:tr>
      <w:tr>
        <w:trPr>
          <w:trHeight w:val="265"/>
        </w:trPr>
        <w:tc>
          <w:tcPr>
            <w:tcW w:w="4700" w:type="dxa"/>
            <w:vAlign w:val="bottom"/>
            <w:tcBorders>
              <w:bottom w:val="single" w:sz="8" w:color="D9D9D9"/>
              <w:right w:val="single" w:sz="8" w:color="auto"/>
            </w:tcBorders>
            <w:shd w:val="clear" w:color="auto" w:fill="D9D9D9"/>
          </w:tcPr>
          <w:p>
            <w:pPr>
              <w:spacing w:after="0"/>
              <w:rPr>
                <w:sz w:val="23"/>
                <w:szCs w:val="23"/>
                <w:color w:val="auto"/>
              </w:rPr>
            </w:pPr>
          </w:p>
        </w:tc>
        <w:tc>
          <w:tcPr>
            <w:tcW w:w="1560" w:type="dxa"/>
            <w:vAlign w:val="bottom"/>
            <w:tcBorders>
              <w:bottom w:val="single" w:sz="8" w:color="D9D9D9"/>
              <w:right w:val="single" w:sz="8" w:color="auto"/>
            </w:tcBorders>
            <w:shd w:val="clear" w:color="auto" w:fill="D9D9D9"/>
          </w:tcPr>
          <w:p>
            <w:pPr>
              <w:spacing w:after="0"/>
              <w:rPr>
                <w:sz w:val="23"/>
                <w:szCs w:val="23"/>
                <w:color w:val="auto"/>
              </w:rPr>
            </w:pPr>
          </w:p>
        </w:tc>
        <w:tc>
          <w:tcPr>
            <w:tcW w:w="1220" w:type="dxa"/>
            <w:vAlign w:val="bottom"/>
            <w:tcBorders>
              <w:bottom w:val="single" w:sz="8" w:color="D9D9D9"/>
            </w:tcBorders>
            <w:shd w:val="clear" w:color="auto" w:fill="D9D9D9"/>
          </w:tcPr>
          <w:p>
            <w:pPr>
              <w:spacing w:after="0"/>
              <w:rPr>
                <w:sz w:val="23"/>
                <w:szCs w:val="23"/>
                <w:color w:val="auto"/>
              </w:rPr>
            </w:pPr>
          </w:p>
        </w:tc>
        <w:tc>
          <w:tcPr>
            <w:tcW w:w="360" w:type="dxa"/>
            <w:vAlign w:val="bottom"/>
            <w:tcBorders>
              <w:bottom w:val="single" w:sz="8" w:color="D9D9D9"/>
              <w:right w:val="single" w:sz="8" w:color="auto"/>
            </w:tcBorders>
            <w:shd w:val="clear" w:color="auto" w:fill="D9D9D9"/>
          </w:tcPr>
          <w:p>
            <w:pPr>
              <w:spacing w:after="0"/>
              <w:rPr>
                <w:sz w:val="23"/>
                <w:szCs w:val="23"/>
                <w:color w:val="auto"/>
              </w:rPr>
            </w:pPr>
          </w:p>
        </w:tc>
        <w:tc>
          <w:tcPr>
            <w:tcW w:w="1560" w:type="dxa"/>
            <w:vAlign w:val="bottom"/>
            <w:tcBorders>
              <w:bottom w:val="single" w:sz="8" w:color="D9D9D9"/>
              <w:right w:val="single" w:sz="8" w:color="auto"/>
            </w:tcBorders>
            <w:shd w:val="clear" w:color="auto" w:fill="D9D9D9"/>
          </w:tcPr>
          <w:p>
            <w:pPr>
              <w:spacing w:after="0"/>
              <w:rPr>
                <w:sz w:val="23"/>
                <w:szCs w:val="23"/>
                <w:color w:val="auto"/>
              </w:rPr>
            </w:pPr>
          </w:p>
        </w:tc>
        <w:tc>
          <w:tcPr>
            <w:tcW w:w="154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Pr>
          <w:p>
            <w:pPr>
              <w:spacing w:after="0"/>
              <w:rPr>
                <w:sz w:val="23"/>
                <w:szCs w:val="23"/>
                <w:color w:val="auto"/>
              </w:rPr>
            </w:pPr>
          </w:p>
        </w:tc>
      </w:tr>
      <w:tr>
        <w:trPr>
          <w:trHeight w:val="243"/>
        </w:trPr>
        <w:tc>
          <w:tcPr>
            <w:tcW w:w="4700" w:type="dxa"/>
            <w:vAlign w:val="bottom"/>
            <w:tcBorders>
              <w:top w:val="single" w:sz="8" w:color="auto"/>
              <w:bottom w:val="single" w:sz="8" w:color="auto"/>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56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1220" w:type="dxa"/>
            <w:vAlign w:val="bottom"/>
            <w:tcBorders>
              <w:top w:val="single" w:sz="8" w:color="auto"/>
              <w:bottom w:val="single" w:sz="8" w:color="auto"/>
            </w:tcBorders>
            <w:shd w:val="clear" w:color="auto" w:fill="D9D9D9"/>
          </w:tcPr>
          <w:p>
            <w:pPr>
              <w:spacing w:after="0"/>
              <w:rPr>
                <w:sz w:val="21"/>
                <w:szCs w:val="21"/>
                <w:color w:val="auto"/>
              </w:rPr>
            </w:pPr>
          </w:p>
        </w:tc>
        <w:tc>
          <w:tcPr>
            <w:tcW w:w="36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156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1540" w:type="dxa"/>
            <w:vAlign w:val="bottom"/>
            <w:tcBorders>
              <w:top w:val="single" w:sz="8" w:color="auto"/>
              <w:bottom w:val="single" w:sz="8" w:color="auto"/>
            </w:tcBorders>
            <w:shd w:val="clear" w:color="auto" w:fill="D9D9D9"/>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r>
      <w:tr>
        <w:trPr>
          <w:trHeight w:val="234"/>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Directors</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3"/>
        </w:trPr>
        <w:tc>
          <w:tcPr>
            <w:tcW w:w="4700" w:type="dxa"/>
            <w:vAlign w:val="bottom"/>
            <w:tcBorders>
              <w:bottom w:val="single" w:sz="8" w:color="auto"/>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560" w:type="dxa"/>
            <w:vAlign w:val="bottom"/>
            <w:tcBorders>
              <w:bottom w:val="single" w:sz="8" w:color="auto"/>
              <w:right w:val="single" w:sz="8" w:color="auto"/>
            </w:tcBorders>
            <w:shd w:val="clear" w:color="auto" w:fill="D9D9D9"/>
          </w:tcPr>
          <w:p>
            <w:pPr>
              <w:spacing w:after="0"/>
              <w:rPr>
                <w:sz w:val="21"/>
                <w:szCs w:val="21"/>
                <w:color w:val="auto"/>
              </w:rPr>
            </w:pPr>
          </w:p>
        </w:tc>
        <w:tc>
          <w:tcPr>
            <w:tcW w:w="1220" w:type="dxa"/>
            <w:vAlign w:val="bottom"/>
            <w:tcBorders>
              <w:bottom w:val="single" w:sz="8" w:color="auto"/>
            </w:tcBorders>
            <w:shd w:val="clear" w:color="auto" w:fill="D9D9D9"/>
          </w:tcPr>
          <w:p>
            <w:pPr>
              <w:spacing w:after="0"/>
              <w:rPr>
                <w:sz w:val="21"/>
                <w:szCs w:val="21"/>
                <w:color w:val="auto"/>
              </w:rPr>
            </w:pPr>
          </w:p>
        </w:tc>
        <w:tc>
          <w:tcPr>
            <w:tcW w:w="360" w:type="dxa"/>
            <w:vAlign w:val="bottom"/>
            <w:tcBorders>
              <w:bottom w:val="single" w:sz="8" w:color="auto"/>
              <w:right w:val="single" w:sz="8" w:color="auto"/>
            </w:tcBorders>
            <w:shd w:val="clear" w:color="auto" w:fill="D9D9D9"/>
          </w:tcPr>
          <w:p>
            <w:pPr>
              <w:spacing w:after="0"/>
              <w:rPr>
                <w:sz w:val="21"/>
                <w:szCs w:val="21"/>
                <w:color w:val="auto"/>
              </w:rPr>
            </w:pPr>
          </w:p>
        </w:tc>
        <w:tc>
          <w:tcPr>
            <w:tcW w:w="1560" w:type="dxa"/>
            <w:vAlign w:val="bottom"/>
            <w:tcBorders>
              <w:bottom w:val="single" w:sz="8" w:color="auto"/>
              <w:right w:val="single" w:sz="8" w:color="auto"/>
            </w:tcBorders>
            <w:shd w:val="clear" w:color="auto" w:fill="D9D9D9"/>
          </w:tcPr>
          <w:p>
            <w:pPr>
              <w:spacing w:after="0"/>
              <w:rPr>
                <w:sz w:val="21"/>
                <w:szCs w:val="21"/>
                <w:color w:val="auto"/>
              </w:rPr>
            </w:pPr>
          </w:p>
        </w:tc>
        <w:tc>
          <w:tcPr>
            <w:tcW w:w="1540" w:type="dxa"/>
            <w:vAlign w:val="bottom"/>
            <w:tcBorders>
              <w:bottom w:val="single" w:sz="8" w:color="auto"/>
            </w:tcBorders>
            <w:shd w:val="clear" w:color="auto" w:fill="D9D9D9"/>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4"/>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Asian</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Hispanic or Latinx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0"/>
        </w:trPr>
        <w:tc>
          <w:tcPr>
            <w:tcW w:w="47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White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22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20"/>
                <w:szCs w:val="20"/>
                <w:color w:val="auto"/>
                <w:w w:val="99"/>
              </w:rPr>
              <w:t>5</w:t>
            </w:r>
          </w:p>
        </w:tc>
        <w:tc>
          <w:tcPr>
            <w:tcW w:w="36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22"/>
                <w:szCs w:val="22"/>
                <w:color w:val="auto"/>
              </w:rPr>
            </w:pPr>
          </w:p>
        </w:tc>
      </w:tr>
      <w:tr>
        <w:trPr>
          <w:trHeight w:val="232"/>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47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LGBTQ+</w:t>
            </w: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
        </w:trPr>
        <w:tc>
          <w:tcPr>
            <w:tcW w:w="470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0"/>
        </w:trPr>
        <w:tc>
          <w:tcPr>
            <w:tcW w:w="47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center"/>
              <w:ind w:right="1150"/>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607" w:right="439" w:bottom="1440" w:gutter="0" w:footer="0" w:header="0"/>
        </w:sectPr>
      </w:pPr>
    </w:p>
    <w:bookmarkStart w:id="13" w:name="page14"/>
    <w:bookmarkEnd w:id="13"/>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3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its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Mr. Aliski, Ms. de Craecker, Ms. Lawton, Mr. McGirr, Dr. Stewart and Mr. Wyzga. In making this determination, the Board found that none of these directors or nominees for director had a material or other disqualifying relationship with the Company. Dr. Ragan is employed by us and is therefore not independent under Nasdaq listing standards. Dr. Bridger provides us with consulting services pursuant to a consulting agreement described under “Transactions with Related Persons and Indemnification – Certain Related-Person Transactions.”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TRUCTURE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Board has an independent Chairman, Mr. Wyzga, who has authority, among other things, to call and preside over Board meetings, including meetings of the independent directors, to set meeting agendas and to determine materials to be distributed to the Board. Accordingly, the Chairman has substantial ability to shape the work of the Board. We believe that separation of the positions of Chairman and Chief Executive Officer reinforces the independence of the Board in its oversight of our business and affairs. Our Board also recognizes the full-time, effort and energy that our Chief Executive Officer devotes to her position in the current business environment. In addition, we believe that having an independent Chairman creates an environment that is more conducive to objective evaluation, increasing management accountability and improving the ability of the Board to assess management’s capacity to act in the best interests of our Company and our stockholders. As a result, we believe that having an independent Chairman can enhance the effectiveness of the Board as a whole.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VERSIGHT</w:t>
      </w:r>
    </w:p>
    <w:p>
      <w:pPr>
        <w:spacing w:after="0" w:line="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For example, in determining whether and under what circumstances we will engage in financing transactions or enter into licensing, collaboration or similar arrangements, the Board is involved in our management of risks related to our financial condition or of the risks inherent in drug development and commercialization. As part of its oversight, our Board receives reports by each committee chair regarding the committee’s considerations and actions. In particular, the Audit Committee is responsible for discussing the adequacy of our risk management activities with management and our independent registered public accounting firm. The Audit Committee’s primary emphasis is managing our financial risk exposures, including our internal control over financial reporting. The Audit Committee also monitors compliance with legal and regulatory requirements and considers and approves or disapproves any related person transactions. In addition, the Compensation Committee is responsible for considering whether our compensation programs and practices are reasonably likely to have a material adverse effect on us. The Nominating and Corporate Governance Committee assists the Board by overseeing and evaluating programs and risks associated with Board organization, membership and structure, and corporate governance.</w:t>
      </w:r>
    </w:p>
    <w:p>
      <w:pPr>
        <w:spacing w:after="0" w:line="18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At each of its meetings, the Board receives business updates from various members of management. These updates may identify matters that have emerged within that member of management’s scope of responsibility that involve operational, financial, legal or regulatory risks and, in these cases, the Board provides guidance to management. Our Board believes that full and open communication between management and the Board is essential for effective risk management and oversight.</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carrying out their risk oversight functions, the Board and its committees routinely request and review management updates, reports from the independent auditors and legal and regulatory advice from outside experts, as appropriate, to assist in discerning and managing important risks that may be faced by us. The Board is committed to continuing to ensure and evolve its risk oversight practices as appropriate given the stage of our evolution as a late-stage clinical biopharmaceutical company and the fast-paced changes of the life sciences industry. Regarding the COVID-19 pandemic, our management is meeting regularly to address concerns of our employees and business, as well as updating and communicating with the full</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603" w:right="339" w:bottom="1440" w:gutter="0" w:footer="0" w:header="0"/>
        </w:sectPr>
      </w:pPr>
    </w:p>
    <w:bookmarkStart w:id="14" w:name="page15"/>
    <w:bookmarkEnd w:id="14"/>
    <w:p>
      <w:pPr>
        <w:spacing w:after="0" w:line="297" w:lineRule="auto"/>
        <w:rPr>
          <w:sz w:val="20"/>
          <w:szCs w:val="20"/>
          <w:color w:val="auto"/>
        </w:rPr>
      </w:pPr>
      <w:r>
        <w:rPr>
          <w:rFonts w:ascii="Times New Roman" w:cs="Times New Roman" w:eastAsia="Times New Roman" w:hAnsi="Times New Roman"/>
          <w:sz w:val="18"/>
          <w:szCs w:val="18"/>
          <w:color w:val="auto"/>
        </w:rPr>
        <w:t>Board as needed. The full Board has oversight and has been engaged concerning the monitoring and identification of risks to our Company, and actions we are taking to mitigate risks related to this pandemic.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Board met seven times during the last fiscal year. Each of our incumbent Board members attended 75% or more of the aggregate number of meetings of the Board and of the committees on which he or she served, held during the portion of the last fiscal year for which he or she was a director or committee member.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3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Corporate Governance Committee. Each of these committees has authority to engage legal counsel or other experts or consultants, as it deems appropriate to carry out its responsibilities. The composition and function of each of these committees are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 Audit Committee is currently composed of three members: Mr. McGirr (chair), Ms. Lawton and Mr. Wyzga. The Audit Committee met four times during 2021. The Board has adopted a written Audit Committee charter that is available to stockholders on our website at http://investors.x4pharma.com/.</w:t>
      </w:r>
    </w:p>
    <w:p>
      <w:pPr>
        <w:spacing w:after="0" w:line="14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Audit Committee established by the Board in accordance with Section 3(a)(58)(A) of the Securities Exchange Act of 1934, as amended (the “Exchange Act”), to oversee our corporate accounting and financial reporting processes and audits of our financial statements. For this purpose, the Audit Committee performs several functions. The Audit Committee:</w:t>
      </w:r>
    </w:p>
    <w:p>
      <w:pPr>
        <w:spacing w:after="0" w:line="137" w:lineRule="exact"/>
        <w:rPr>
          <w:sz w:val="20"/>
          <w:szCs w:val="20"/>
          <w:color w:val="auto"/>
        </w:rPr>
      </w:pPr>
    </w:p>
    <w:p>
      <w:pPr>
        <w:ind w:left="980" w:hanging="44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evaluates, retains, and when necessary, terminates the engagement of the independent auditors;</w:t>
      </w:r>
    </w:p>
    <w:p>
      <w:pPr>
        <w:spacing w:after="0" w:line="198"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independent auditors and sets the compensation of the independence auditor;</w:t>
      </w:r>
    </w:p>
    <w:p>
      <w:pPr>
        <w:spacing w:after="0" w:line="198"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retention of the independent auditors to perform any proposed permissible non-audit services;</w:t>
      </w:r>
    </w:p>
    <w:p>
      <w:pPr>
        <w:spacing w:after="0" w:line="184" w:lineRule="exact"/>
        <w:rPr>
          <w:rFonts w:ascii="Times New Roman" w:cs="Times New Roman" w:eastAsia="Times New Roman" w:hAnsi="Times New Roman"/>
          <w:sz w:val="18"/>
          <w:szCs w:val="18"/>
          <w:color w:val="auto"/>
        </w:rPr>
      </w:pPr>
    </w:p>
    <w:p>
      <w:pPr>
        <w:ind w:left="980" w:right="1680" w:hanging="441"/>
        <w:spacing w:after="0" w:line="297"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work of the independent auditor, including resolution of disagreements between our management and the independent auditor regarding financial reporting;</w:t>
      </w:r>
    </w:p>
    <w:p>
      <w:pPr>
        <w:spacing w:after="0" w:line="108" w:lineRule="exact"/>
        <w:rPr>
          <w:rFonts w:ascii="Times New Roman" w:cs="Times New Roman" w:eastAsia="Times New Roman" w:hAnsi="Times New Roman"/>
          <w:sz w:val="18"/>
          <w:szCs w:val="18"/>
          <w:color w:val="auto"/>
        </w:rPr>
      </w:pPr>
    </w:p>
    <w:p>
      <w:pPr>
        <w:ind w:left="980" w:right="1460" w:hanging="441"/>
        <w:spacing w:after="0" w:line="274"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annual audited financial statements and quarterly financial statements with management and the independent auditor, including our disclosures under “Management’s Discussion and Analysis of Financial Condition and Results of Operations;”</w:t>
      </w:r>
    </w:p>
    <w:p>
      <w:pPr>
        <w:spacing w:after="0" w:line="141"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the type and presentation of information to be disclosed in our earnings releases;</w:t>
      </w:r>
    </w:p>
    <w:p>
      <w:pPr>
        <w:spacing w:after="0" w:line="184" w:lineRule="exact"/>
        <w:rPr>
          <w:rFonts w:ascii="Times New Roman" w:cs="Times New Roman" w:eastAsia="Times New Roman" w:hAnsi="Times New Roman"/>
          <w:sz w:val="18"/>
          <w:szCs w:val="18"/>
          <w:color w:val="auto"/>
        </w:rPr>
      </w:pPr>
    </w:p>
    <w:p>
      <w:pPr>
        <w:ind w:left="980" w:right="1160" w:hanging="441"/>
        <w:spacing w:after="0" w:line="297"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coordinates the Board’s oversight of our internal control over financial reporting, disclosure procedures, and code of business conduct and ethics;</w:t>
      </w:r>
    </w:p>
    <w:p>
      <w:pPr>
        <w:spacing w:after="0" w:line="108" w:lineRule="exact"/>
        <w:rPr>
          <w:rFonts w:ascii="Times New Roman" w:cs="Times New Roman" w:eastAsia="Times New Roman" w:hAnsi="Times New Roman"/>
          <w:sz w:val="18"/>
          <w:szCs w:val="18"/>
          <w:color w:val="auto"/>
        </w:rPr>
      </w:pPr>
    </w:p>
    <w:p>
      <w:pPr>
        <w:ind w:left="980" w:right="1320" w:hanging="441"/>
        <w:spacing w:after="0" w:line="297"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our policies with respect to risk assessment and risk management, including guidelines and policies to govern the process by which our exposure to risk is handled;</w:t>
      </w:r>
    </w:p>
    <w:p>
      <w:pPr>
        <w:spacing w:after="0" w:line="108" w:lineRule="exact"/>
        <w:rPr>
          <w:rFonts w:ascii="Times New Roman" w:cs="Times New Roman" w:eastAsia="Times New Roman" w:hAnsi="Times New Roman"/>
          <w:sz w:val="18"/>
          <w:szCs w:val="18"/>
          <w:color w:val="auto"/>
        </w:rPr>
      </w:pPr>
    </w:p>
    <w:p>
      <w:pPr>
        <w:ind w:left="980" w:right="1180" w:hanging="441"/>
        <w:spacing w:after="0" w:line="274"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as required under applicable law, for the receipt, retention and treatment of complaints received by us regarding accounting, internal accounting controls or auditing matters and the confidential and anonymous submission by employees of concerns regarding questionable accounting or auditing matters; and</w:t>
      </w:r>
    </w:p>
    <w:p>
      <w:pPr>
        <w:spacing w:after="0" w:line="128"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and procedures for reviewing and approving related person transactions.</w:t>
      </w:r>
    </w:p>
    <w:p>
      <w:pPr>
        <w:spacing w:after="0" w:line="26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823" w:right="419" w:bottom="1440" w:gutter="0" w:footer="0" w:header="0"/>
        </w:sectPr>
      </w:pPr>
    </w:p>
    <w:bookmarkStart w:id="15" w:name="page16"/>
    <w:bookmarkEnd w:id="15"/>
    <w:p>
      <w:pPr>
        <w:ind w:right="260"/>
        <w:spacing w:after="0" w:line="297" w:lineRule="auto"/>
        <w:rPr>
          <w:sz w:val="20"/>
          <w:szCs w:val="20"/>
          <w:color w:val="auto"/>
        </w:rPr>
      </w:pPr>
      <w:r>
        <w:rPr>
          <w:rFonts w:ascii="Times New Roman" w:cs="Times New Roman" w:eastAsia="Times New Roman" w:hAnsi="Times New Roman"/>
          <w:sz w:val="18"/>
          <w:szCs w:val="18"/>
          <w:color w:val="auto"/>
        </w:rPr>
        <w:t>The Board has also determined that each of Mr. McGirr and Mr. Wyzga qualifies as an “audit committee financial expert,” as defined in applicable SEC rules.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McGirr, M.B.A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Alison Lawton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 Wyzga</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color w:val="auto"/>
        </w:rPr>
        <w:t>The Compensation Committee is currently composed of three directors: Dr. Stewart (chair), Mr. Aliski and Ms. de Craecker. All members of our Compensation Committee are independent (as independence is currently defined in Rule 5605(d)(2) of the Nasdaq Listing Rules.) The Compensation Committee met seven times during 2021. The Board has adopted a written Compensation Committee charter that is available to stockholders on our website at http://investors.x4pharma.com/.</w:t>
      </w:r>
    </w:p>
    <w:p>
      <w:pPr>
        <w:spacing w:after="0" w:line="1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Compensation Committee acts on behalf of the Board to review, approve or recommend for approval by the Board and oversee our compensation strategy, policies, plans and programs, including:</w:t>
      </w:r>
    </w:p>
    <w:p>
      <w:pPr>
        <w:spacing w:after="0" w:line="148" w:lineRule="exact"/>
        <w:rPr>
          <w:sz w:val="20"/>
          <w:szCs w:val="20"/>
          <w:color w:val="auto"/>
        </w:rPr>
      </w:pPr>
    </w:p>
    <w:p>
      <w:pPr>
        <w:ind w:left="980" w:right="1200" w:hanging="441"/>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for approval, the compensation and other terms of employment or service, including salary, bonus and incentive compensation levels, deferred compensation, executive perquisites, equity compensation, severance arrangements and change-in-control benefits, of our Chief Executive Officer and the other executive officers;</w:t>
      </w:r>
    </w:p>
    <w:p>
      <w:pPr>
        <w:spacing w:after="0" w:line="139" w:lineRule="exact"/>
        <w:rPr>
          <w:rFonts w:ascii="Times New Roman" w:cs="Times New Roman" w:eastAsia="Times New Roman" w:hAnsi="Times New Roman"/>
          <w:sz w:val="18"/>
          <w:szCs w:val="18"/>
          <w:color w:val="auto"/>
        </w:rPr>
      </w:pPr>
    </w:p>
    <w:p>
      <w:pPr>
        <w:ind w:left="980" w:right="1000" w:hanging="441"/>
        <w:spacing w:after="0" w:line="274"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the evaluation of our senior executives, including determining the nature and frequency of the evaluation and the persons subject to the evaluation, supervising the conduct of the evaluation, and preparing assessments of the senior executives’ performance;</w:t>
      </w:r>
    </w:p>
    <w:p>
      <w:pPr>
        <w:spacing w:after="0" w:line="128" w:lineRule="exact"/>
        <w:rPr>
          <w:rFonts w:ascii="Times New Roman" w:cs="Times New Roman" w:eastAsia="Times New Roman" w:hAnsi="Times New Roman"/>
          <w:sz w:val="18"/>
          <w:szCs w:val="18"/>
          <w:color w:val="auto"/>
        </w:rPr>
      </w:pPr>
    </w:p>
    <w:p>
      <w:pPr>
        <w:ind w:left="980" w:right="1200" w:hanging="441"/>
        <w:spacing w:after="0" w:line="28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the Board of our incentive-compensation and equity-based planes and approval of any tax-qualified, non-discriminatory employee benefit plans for which stockholder approval is not sought and pursuant to which options or stock may be acquired by our officers, directors, employees or consultants;</w:t>
      </w:r>
    </w:p>
    <w:p>
      <w:pPr>
        <w:spacing w:after="0" w:line="123"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our equity compensation plans; and</w:t>
      </w:r>
    </w:p>
    <w:p>
      <w:pPr>
        <w:spacing w:after="0" w:line="198"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recommendation to the Board with respect to director compensation.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w:t>
      </w:r>
    </w:p>
    <w:p>
      <w:pPr>
        <w:spacing w:after="0" w:line="11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In setting base salaries and bonuses and granting equity incentive awards for our executive officers, our 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a long-term</w:t>
      </w:r>
    </w:p>
    <w:p>
      <w:pPr>
        <w:sectPr>
          <w:pgSz w:w="11900" w:h="16838" w:orient="portrait"/>
          <w:cols w:equalWidth="0" w:num="1">
            <w:col w:w="11200"/>
          </w:cols>
          <w:pgMar w:left="320" w:top="823" w:right="379" w:bottom="1440" w:gutter="0" w:footer="0" w:header="0"/>
        </w:sect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823" w:right="379" w:bottom="1440" w:gutter="0" w:footer="0" w:header="0"/>
          <w:type w:val="continuous"/>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18"/>
          <w:szCs w:val="18"/>
          <w:color w:val="auto"/>
        </w:rPr>
        <w:t>commitment to our company. As part of this process, Dr. Ragan, as our president and chief executive officer, prepares performance evaluations for the other executive officers and recommends annual salary increases, annual stock option awards and cash bonuses to the Compensation Committee. The Compensation Committee also conducts a performance evaluation of Dr. Ragan. As necessary, the Compensation Committee consults with the Board as to the achievement of corporate objectives that drive contingent compensation awards.</w:t>
      </w:r>
    </w:p>
    <w:p>
      <w:pPr>
        <w:spacing w:after="0" w:line="1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utilized Arnosti Consulting, a compensation consultant with expertise in the local biotechnology market to help assess executive and employee compensation and to help inform our compensation strategy.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Nominating and Corporate Governance Committee is current composed of three directors: Mr. Aliski (chair), Mr. McGirr, and Mr. Wyzga. All members of the Nominating and Corporate Governance Committee are independent (as independence is currently defined in Rule 5605(a)(2) of the Nasdaq Listing Rules). The Nominating and Corporate Governance Committee met five times during 2021. The Board has adopted a written Nominating and Corporate Governance Committee charter that is available to our stockholders on our website at http://investors.x4pharma.com/.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of the Board is responsible for identifying, reviewing and evaluating candidates to serve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the Company (consistent with criteria approved by the Board), reviewing and evaluating incumbent directors, recommending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candidates for election to the Board, making recommendations to the Board regarding the membership of the committees of the Board (including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making changes or rotation of members, the creation of additional Board committees, or changes in Committee charters), overseeing 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self-assessment of the Board, overseeing succession planning for senior executives of the Company, and developing and recommending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 set of corporate governance principles for the Company.</w:t>
      </w:r>
    </w:p>
    <w:p>
      <w:pPr>
        <w:spacing w:after="0" w:line="23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a reputation for integrity, honesty and adherence to high ethical standards; demonstrated business acumen, experience and the ability to exercise sound judgements in matters that relate to the current and long-term objectives of the Company and a willingness and ability to contribute positively to the decision-making process of the Company; a commitment to understand the Company and its industry and to regularly attend and participate in meetings of the Board and its committees; the interest and ability to understand the sometimes conflicting interests of the various constituencies of the Company, which include stockholders, employees, customers, governmental units, creditors and the general public, and to act in the interests of all stockholders; and the ability to serve for at least three years before reaching the age of 75. The Nominating and Corporate Governance Committee also believes that candidates for director should not have, nor appear to have, a conflict of interest that would impair the candidate’s ability to represent the interests of all the Company’s stockholders and to fulfill the responsibilities of a director.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and the Nominating and Corporate Governance Committee has direct input from the Chairman of the Board and the Chief Executive Officer.</w:t>
      </w:r>
    </w:p>
    <w:p>
      <w:pPr>
        <w:spacing w:after="0" w:line="18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Our Nominating and Corporate Governance Committee has not adopted a formal diversity policy in connection with the consideration of director nominations or the selection of nominees but believes that our Board, taken as a whole, should embody a diverse set of skills, experiences and backgrounds. In this regard,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and its committees. The Nominating and Corporate Governance Committee does not make any particular weighting of diversity or any other characteristic in evaluating nominees and directors.</w:t>
      </w:r>
    </w:p>
    <w:p>
      <w:pPr>
        <w:spacing w:after="0" w:line="1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15" w:right="339" w:bottom="1440" w:gutter="0" w:footer="0" w:header="0"/>
        </w:sectPr>
      </w:pPr>
    </w:p>
    <w:bookmarkStart w:id="17" w:name="page18"/>
    <w:bookmarkEnd w:id="17"/>
    <w:p>
      <w:pPr>
        <w:spacing w:after="0" w:line="271" w:lineRule="auto"/>
        <w:rPr>
          <w:sz w:val="20"/>
          <w:szCs w:val="20"/>
          <w:color w:val="auto"/>
        </w:rPr>
      </w:pPr>
      <w:r>
        <w:rPr>
          <w:rFonts w:ascii="Times New Roman" w:cs="Times New Roman" w:eastAsia="Times New Roman" w:hAnsi="Times New Roman"/>
          <w:sz w:val="18"/>
          <w:szCs w:val="18"/>
          <w:color w:val="auto"/>
        </w:rPr>
        <w:t>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8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c/o X4 Pharmaceuticals, Inc., 61 North Beacon Street, 4</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Floor, Boston, Massachusetts 02134 at least 120 days prior to the anniversary date of the mailing of our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common stock and has been a holder for at least one year. Any such submission must be accompanied by the written consent of the proposed nominee to be named as a nominee and to serve as a director if elected.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communications will be reviewed by one or more employees of the Company designated by the Board, who will determine whether the communication should be presented to the Board. Stockholders who wish to communicate with our Board, or any individual director, may do so by sending written communications addressed to our Corporate Secretary at 61 North Beacon Street,4th Floor, Boston, Massachusetts 02134.</w:t>
      </w:r>
    </w:p>
    <w:p>
      <w:pPr>
        <w:spacing w:after="0" w:line="176"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Communications will be distributed to the Board, or to any individual director or directors as appropriate, depending on the facts and circumstances outlined in the communications. Items that are unrelated to the duties and responsibilities of our Board of Directors may be excluded, such as:</w:t>
      </w:r>
    </w:p>
    <w:p>
      <w:pPr>
        <w:spacing w:after="0" w:line="99" w:lineRule="exact"/>
        <w:rPr>
          <w:sz w:val="20"/>
          <w:szCs w:val="20"/>
          <w:color w:val="auto"/>
        </w:rPr>
      </w:pPr>
    </w:p>
    <w:p>
      <w:pPr>
        <w:ind w:left="980" w:hanging="44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junk mail and mass mailings;</w:t>
      </w:r>
    </w:p>
    <w:p>
      <w:pPr>
        <w:spacing w:after="0" w:line="198"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184"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 and</w:t>
      </w:r>
    </w:p>
    <w:p>
      <w:pPr>
        <w:spacing w:after="0" w:line="198"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solicitations or advertisements.</w:t>
      </w:r>
    </w:p>
    <w:p>
      <w:pPr>
        <w:spacing w:after="0" w:line="26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any material that is unduly hostile, threatening, or illegal in nature may be excluded, in which case it will be made available to any outside director upon request.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12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The Code of Business Conduct and Ethics is available on our website at http://investors.x4pharma.com.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policy, which prohibits our employees, directors and certain consultants from engaging in hedging or monetization transactions with respect to our securities, including through the use of financial instruments such as prepaid variable forwards, equity swaps, collars, and exchange funds. In addition, our insider trading policy prohibits trading in derivative securities related to our securities, which include publicly traded call and put options, engaging in short selling of our common stock, purchasing our common stock on margin or holding it in a margin account and pledging our shares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2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ATIFICATION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ELECTION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selected PricewaterhouseCoopers LLP as our independent registered public accounting firm for the fiscal year ending December 31, 2022 and has further directed that management submit the selection of its independent registered public accounting firm for ratification by the stockholders at the Annual Meeting. PricewaterhouseCoopers LLP has audited our financial statements since 2016 and also served as our auditor when we were a private company since 2016. Representatives of PricewaterhouseCoopers LLP are expected to be present at the Annual Meeting. They will have an opportunity to make a statement if they so desire and will be available to respond to appropriate questions.</w:t>
      </w:r>
    </w:p>
    <w:p>
      <w:pPr>
        <w:spacing w:after="0" w:line="18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PricewaterhouseCoopers LLP as our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our best interests and our stockholders.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121" w:lineRule="exact"/>
        <w:rPr>
          <w:sz w:val="20"/>
          <w:szCs w:val="20"/>
          <w:color w:val="auto"/>
        </w:rPr>
      </w:pPr>
    </w:p>
    <w:p>
      <w:pPr>
        <w:ind w:right="1800"/>
        <w:spacing w:after="0" w:line="297"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 ended December 31, 2021 and December 31, 2020 by PricewaterhouseCoopers LLP, our principal accountant.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6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0"/>
        </w:trPr>
        <w:tc>
          <w:tcPr>
            <w:tcW w:w="7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9"/>
                <w:szCs w:val="9"/>
                <w:color w:val="auto"/>
              </w:rPr>
              <w:t>(1)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758,000</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1,102,700</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9"/>
                <w:szCs w:val="9"/>
                <w:color w:val="auto"/>
              </w:rPr>
              <w:t>(2)</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7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9"/>
                <w:szCs w:val="9"/>
                <w:color w:val="auto"/>
              </w:rPr>
              <w:t>(3)</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835,125</w:t>
            </w:r>
          </w:p>
        </w:tc>
        <w:tc>
          <w:tcPr>
            <w:tcW w:w="2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1,105,456</w:t>
            </w:r>
          </w:p>
        </w:tc>
      </w:tr>
      <w:tr>
        <w:trPr>
          <w:trHeight w:val="40"/>
        </w:trPr>
        <w:tc>
          <w:tcPr>
            <w:tcW w:w="77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440" w:right="1060" w:hanging="414"/>
        <w:spacing w:after="0" w:line="281" w:lineRule="auto"/>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fees billed for professional services provided to us in connection with the annual audit of our consolidated financial statements, the review of our quarterly condensed consolidated financial statements, as well as audit services that are normally provided by an independent registered public accounting firm in connection with statutory and regulatory filings or engagements for those fiscal years, such as statutory audits. Included in 2021 Audit Fees are fees of $183,000 in connection with the filing of registration statements and issuance of comfort letters. Included in 2020 Audit Fees are fees of $385,000 in connection with filing of registration statements.</w:t>
      </w:r>
    </w:p>
    <w:p>
      <w:pPr>
        <w:spacing w:after="0" w:line="123" w:lineRule="exact"/>
        <w:rPr>
          <w:rFonts w:ascii="Times New Roman" w:cs="Times New Roman" w:eastAsia="Times New Roman" w:hAnsi="Times New Roman"/>
          <w:sz w:val="14"/>
          <w:szCs w:val="14"/>
          <w:color w:val="auto"/>
        </w:rPr>
      </w:pPr>
    </w:p>
    <w:p>
      <w:pPr>
        <w:ind w:left="440" w:right="1040" w:hanging="414"/>
        <w:spacing w:after="0" w:line="322" w:lineRule="auto"/>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 of fees billed by an independent registered public accounting firm for assurance and related services that are reasonably related to the performance of the audit or review of financial statements and which are not reported under “Audit Fees.” There were no such fees in 2020.</w:t>
      </w:r>
    </w:p>
    <w:p>
      <w:pPr>
        <w:spacing w:after="0" w:line="108" w:lineRule="exact"/>
        <w:rPr>
          <w:rFonts w:ascii="Times New Roman" w:cs="Times New Roman" w:eastAsia="Times New Roman" w:hAnsi="Times New Roman"/>
          <w:sz w:val="14"/>
          <w:szCs w:val="14"/>
          <w:color w:val="auto"/>
        </w:rPr>
      </w:pPr>
    </w:p>
    <w:p>
      <w:pPr>
        <w:ind w:left="440" w:hanging="414"/>
        <w:spacing w:after="0"/>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subscription fees paid for access to online accounting research software applications and data.</w:t>
      </w:r>
    </w:p>
    <w:p>
      <w:pPr>
        <w:spacing w:after="0" w:line="1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All fees described above were pre-approved by the Audit Committee. There were no services that were approved by the Audit Committee pursuant to Rule 2-01(c)(7)(i)(C) (relating to the approval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non-audit services after the fact but before completion of the audit).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PricewaterhouseCoopers LLP. Prior to engagement of an independent registered public accounting firm for the next year’s audit, management will submit an aggregate of services expected to be rendered during that year for each of four categories of services (audit services, audit-related services, tax services and other fees) to the Audit Committee for approval. 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846" w:right="359" w:bottom="1440" w:gutter="0" w:footer="0" w:header="0"/>
        </w:sectPr>
      </w:pPr>
    </w:p>
    <w:bookmarkStart w:id="19" w:name="page20"/>
    <w:bookmarkEnd w:id="19"/>
    <w:p>
      <w:pPr>
        <w:ind w:right="260"/>
        <w:spacing w:after="0" w:line="274" w:lineRule="auto"/>
        <w:rPr>
          <w:sz w:val="20"/>
          <w:szCs w:val="20"/>
          <w:color w:val="auto"/>
        </w:rPr>
      </w:pPr>
      <w:r>
        <w:rPr>
          <w:rFonts w:ascii="Times New Roman" w:cs="Times New Roman" w:eastAsia="Times New Roman" w:hAnsi="Times New Roman"/>
          <w:sz w:val="18"/>
          <w:szCs w:val="18"/>
          <w:color w:val="auto"/>
        </w:rPr>
        <w:t>firm for additional services not contemplated in the original pre-approval. In those instances, the Audit Committee requires specific pre-approval before engaging our independent registered public accounting firm. The pre-approval of services may be delegated to one or more of the Audit Committee’s members, but the decision must be reported to the full Audit Committee at its next scheduled meeting.</w:t>
      </w:r>
    </w:p>
    <w:p>
      <w:pPr>
        <w:spacing w:after="0" w:line="182" w:lineRule="exact"/>
        <w:rPr>
          <w:sz w:val="20"/>
          <w:szCs w:val="20"/>
          <w:color w:val="auto"/>
        </w:rPr>
      </w:pPr>
    </w:p>
    <w:p>
      <w:pPr>
        <w:ind w:right="740"/>
        <w:spacing w:after="0" w:line="297"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by the holders of shares present in person or by proxy and entitled to vote at the Annual Meeting will be required to ratify the selection of PricewaterhouseCoopers LLP.</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3"/>
          <w:szCs w:val="13"/>
          <w:b w:val="1"/>
          <w:bCs w:val="1"/>
          <w:color w:val="auto"/>
        </w:rPr>
        <w:t xml:space="preserve">OTE IN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3"/>
          <w:szCs w:val="13"/>
          <w:b w:val="1"/>
          <w:bCs w:val="1"/>
          <w:color w:val="auto"/>
        </w:rPr>
        <w:t xml:space="preserve">ROPOSAL </w:t>
      </w:r>
      <w:r>
        <w:rPr>
          <w:rFonts w:ascii="Times New Roman" w:cs="Times New Roman" w:eastAsia="Times New Roman" w:hAnsi="Times New Roman"/>
          <w:sz w:val="17"/>
          <w:szCs w:val="17"/>
          <w:b w:val="1"/>
          <w:bCs w:val="1"/>
          <w:color w:val="auto"/>
        </w:rPr>
        <w:t>2.</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823" w:right="3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37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our executive officers and their ages as of the date of this Proxy Statement. There are no family relationships between any of our executive officers, and there is no arrangement or understanding between any executive officer and any other person pursuant to which the executive officer was selected.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6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Paula Ragan, Ph.D.</w:t>
            </w:r>
          </w:p>
        </w:tc>
        <w:tc>
          <w:tcPr>
            <w:tcW w:w="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8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S. Mostafa</w:t>
            </w:r>
          </w:p>
        </w:tc>
        <w:tc>
          <w:tcPr>
            <w:tcW w:w="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8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DiBiase</w:t>
            </w:r>
          </w:p>
        </w:tc>
        <w:tc>
          <w:tcPr>
            <w:tcW w:w="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8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Diego Cadavid, M.D.</w:t>
            </w:r>
          </w:p>
        </w:tc>
        <w:tc>
          <w:tcPr>
            <w:tcW w:w="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8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Arthur Taveras, Ph.D.</w:t>
            </w:r>
          </w:p>
        </w:tc>
        <w:tc>
          <w:tcPr>
            <w:tcW w:w="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8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Derek Meisner, J.D.</w:t>
            </w:r>
          </w:p>
        </w:tc>
        <w:tc>
          <w:tcPr>
            <w:tcW w:w="5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Paula Ragan, Ph.D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for Dr. Ragan is presented above under the caption “Nominees for Election as a Class I Director for a Three-Year Term Expiring at the 2024 Annual Meeting of Stockholders”.</w:t>
      </w:r>
    </w:p>
    <w:p>
      <w:pPr>
        <w:spacing w:after="0" w:line="14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S. Mostafa. </w:t>
      </w:r>
      <w:r>
        <w:rPr>
          <w:rFonts w:ascii="Times New Roman" w:cs="Times New Roman" w:eastAsia="Times New Roman" w:hAnsi="Times New Roman"/>
          <w:sz w:val="18"/>
          <w:szCs w:val="18"/>
          <w:color w:val="auto"/>
        </w:rPr>
        <w:t>Mr. Mostafa has served as our Chief Financial Officer and Treasurer since the Merger in March 2019. Prior to the Merger, Mr. Mostafa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Private X4’s Chief Financial Officer since September 2018. Prior to joining Private X4, Mr. Mostafa served as chief financial officer of Abpro Corporation, a biotechnology company focused on antibody therapeutics, from June 2016 to August 2018. Prior to that, Mr. Mostafa was a managing director in the healthcare investment banking group at Cantor Fitzgerald from January 2015 to May 2016, and from June 2011 to January 2015,</w:t>
      </w:r>
    </w:p>
    <w:p>
      <w:pPr>
        <w:spacing w:after="0" w:line="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Mr. Mostafa was a senior banker in the healthcare investment banking group at Needham &amp; Company. Prior to that, Mr. Mostafa was a vice president in the investment banking group at CRT Capital Group from March 2007 to May 2011, and from September 2003 to March 2007, Mr. Mostafa was a portfolio management associate in the global stock selection group at AQR Capital. Mr. Mostafa began his career as an analyst in the healthcare investment banking group at Salomon Smith Barney. Mr. Mostafa earned an A.B. in Economics from Brown University.</w:t>
      </w:r>
    </w:p>
    <w:p>
      <w:pPr>
        <w:spacing w:after="0" w:line="21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DiBiase, Ph.D. </w:t>
      </w:r>
      <w:r>
        <w:rPr>
          <w:rFonts w:ascii="Times New Roman" w:cs="Times New Roman" w:eastAsia="Times New Roman" w:hAnsi="Times New Roman"/>
          <w:sz w:val="18"/>
          <w:szCs w:val="18"/>
          <w:color w:val="auto"/>
        </w:rPr>
        <w:t>Ms. DiBiase has served as our Chief Operating Officer since September 2021. Prior to her promotion, Ms. DiBiase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and previously Vice President of Technical Operations and Quality from June 2017 to September 2021. From February 2013 to July 2016, Dr. DiBiase was VP Technical Operations and Program Management, previously VP Program Management at Epirus Biopharmaceuticals, a small biosimilar company working to expand access to biosimilar products across the globe. From June 2011 to May 2012, Dr. DiBiase served as VP Product Operations, Specialty Care Business Unit for Pfizer Global Supply. From 1995 to 2011, she held multiple positions of increasing responsibility at Biogen, including Sr Director CMC Management, Program Executive for Avonex® and Associate Director Pharmaceutical Science and Technology. Dr. DiBiase received her Ph.D. from University of Rhode Island and her B.Pharm. from the University of London.</w:t>
      </w:r>
    </w:p>
    <w:p>
      <w:pPr>
        <w:spacing w:after="0" w:line="2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Diego Cadavid, M.D. </w:t>
      </w:r>
      <w:r>
        <w:rPr>
          <w:rFonts w:ascii="Times New Roman" w:cs="Times New Roman" w:eastAsia="Times New Roman" w:hAnsi="Times New Roman"/>
          <w:sz w:val="18"/>
          <w:szCs w:val="18"/>
          <w:color w:val="auto"/>
        </w:rPr>
        <w:t>Dr. Cadavid has served as our Chief Medical Officer since December 2020. Previously, from September 2016 to November 2020,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Cadavid was Vice President of Clinical Development and then Senior Vice President and Head of Clinical Development at Fulcrum Therapeutics, a public biopharmaceutical company. Dr. Cadavid served in various roles of increasing responsibility at Biogen from 2008 until September 2016, ultimately departing as Senior Medical Director, Multiple Sclerosis Clinical Development Group. From 2008 until 2015, Dr. Cadavid was also a consultant at the Center for Immunology and Inflammatory Diseases at Massachusetts General Hospital. He is a licensed physician and a board-certified neurologist. Additionally, Dr. Cadavid has served as an Affiliate Instructor in Neurology at the University of Massachusetts Medical School since May 2018, and he previously taught at the Rutgers-New Jersey Medical School for 9 years. Dr. Cadavid received undergraduate and graduate medical education at Pontificia Universidad Javeriana in Colombia, and conducted his post-doctoral fellowship training and residency training at the University of Texas Health Science Center, the Armed Forces Institute of Pathology, and Georgetown University Medical Center and Affiliated Hospitals.</w:t>
      </w:r>
    </w:p>
    <w:p>
      <w:pPr>
        <w:spacing w:after="0" w:line="21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Arthur Taveras, Ph.D. </w:t>
      </w:r>
      <w:r>
        <w:rPr>
          <w:rFonts w:ascii="Times New Roman" w:cs="Times New Roman" w:eastAsia="Times New Roman" w:hAnsi="Times New Roman"/>
          <w:sz w:val="18"/>
          <w:szCs w:val="18"/>
          <w:color w:val="auto"/>
        </w:rPr>
        <w:t>Dr. Taveras has served as our Chief Scientific Officer since November 2020. Previously, from August 2018 to July 2020,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Taveras served as Chief Scientific Officer of Comet Therapeutics, Inc., a private biotechnology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46" w:right="33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company. From May 2015 to the present, Dr. Taveras has served in various capacities as Chief Scientific Officer, Head of Drug Discovery and/or Owner of Transform Therapeutics, a private company he founded that is focused on developing novel therapeutics for cancer, neurodegenerative diseases and immunologic disorders. Dr. Taveras also served as President &amp; Chief Scientific Officer of Shanghai ChemPartner Co., Ltd., a research organization serving the pharmaceutical and biotechnology industry, from October 2013 to December 2014. Earlier in his career, he held leadership positions at Biogen, Atlantos Pharmaceuticals (later acquired by Amgen), and Schering-Plough Research Institute (later acquired by Merck). Dr. Taveras received his Ph.D., M.S and B.S. degrees from Rensselaer Polytechnical Institute.</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Derek Meisner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J.D. </w:t>
      </w:r>
      <w:r>
        <w:rPr>
          <w:rFonts w:ascii="Times New Roman" w:cs="Times New Roman" w:eastAsia="Times New Roman" w:hAnsi="Times New Roman"/>
          <w:sz w:val="18"/>
          <w:szCs w:val="18"/>
          <w:color w:val="auto"/>
        </w:rPr>
        <w:t>Mr. Meisner has served as our Chief Legal Officer and Secretary since November 2021, and previously served as our General Counsel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November 2019 to November 2021. From September 2018 until October 2019, Mr. Meisner held the role of General Counsel at Genocea Biosciences, a publicly traded, clinical-stage biopharmaceutical company. Prior to Genocea, he served as General Counsel of multiple Boston-based financial services firms, including Quantopian, Inc., a venture-backed start-up, from April 2016 until September 2018, and life science investor RA Capital Management from January 2015 to April 2016. Mr. Meisner was also previously a partner at the international law firm K&amp;L Gates and Branch Chief in the Division of Enforcement of the U.S. Securities and Exchange Commission.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Meisner holds a B.A. from the University of Michigan and a J.D. from the Washington College of Law at American University.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60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April 11, 2022 by: (i) each director and nominee for director; (ii) each of the executive officers named in the Summary Compensation Table; (iii) all current executive officers and directors of the Company as a group; and (iv) all those known by the Company to be beneficial owners of more than five percent of its common stock. Applicable percentages are based on 30,823,573 shares outstanding on April 11, 2022, adjusted as required by rules promulgated by the SEC. Unless otherwise noted below, the address of each stockholder below is c/o X4 Pharmaceuticals, Inc., 61 North Beacon Street, 4th Floor, Boston, Massachusetts 02134.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92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20" w:type="dxa"/>
            <w:vAlign w:val="bottom"/>
            <w:gridSpan w:val="2"/>
          </w:tcPr>
          <w:p>
            <w:pPr>
              <w:spacing w:after="0"/>
              <w:rPr>
                <w:sz w:val="3"/>
                <w:szCs w:val="3"/>
                <w:color w:val="auto"/>
              </w:rPr>
            </w:pPr>
          </w:p>
        </w:tc>
        <w:tc>
          <w:tcPr>
            <w:tcW w:w="292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9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23"/>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2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Biotechnology Value Fund </w:t>
            </w:r>
            <w:r>
              <w:rPr>
                <w:rFonts w:ascii="Times New Roman" w:cs="Times New Roman" w:eastAsia="Times New Roman" w:hAnsi="Times New Roman"/>
                <w:sz w:val="23"/>
                <w:szCs w:val="23"/>
                <w:color w:val="auto"/>
                <w:vertAlign w:val="superscript"/>
              </w:rPr>
              <w:t>(1)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3,319,718</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3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Bain Capital </w:t>
            </w:r>
            <w:r>
              <w:rPr>
                <w:rFonts w:ascii="Times New Roman" w:cs="Times New Roman" w:eastAsia="Times New Roman" w:hAnsi="Times New Roman"/>
                <w:sz w:val="9"/>
                <w:szCs w:val="9"/>
                <w:color w:val="auto"/>
              </w:rPr>
              <w:t>(2)</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3,085,905</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8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Ikarian Capital </w:t>
            </w:r>
            <w:r>
              <w:rPr>
                <w:rFonts w:ascii="Times New Roman" w:cs="Times New Roman" w:eastAsia="Times New Roman" w:hAnsi="Times New Roman"/>
                <w:sz w:val="9"/>
                <w:szCs w:val="9"/>
                <w:color w:val="auto"/>
              </w:rPr>
              <w:t>(3)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2,264,491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33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Lincoln Park Capital </w:t>
            </w:r>
            <w:r>
              <w:rPr>
                <w:rFonts w:ascii="Times New Roman" w:cs="Times New Roman" w:eastAsia="Times New Roman" w:hAnsi="Times New Roman"/>
                <w:sz w:val="23"/>
                <w:szCs w:val="23"/>
                <w:color w:val="auto"/>
                <w:vertAlign w:val="superscript"/>
              </w:rPr>
              <w:t>(4)</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1,810,087</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27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Point72 </w:t>
            </w:r>
            <w:r>
              <w:rPr>
                <w:rFonts w:ascii="Times New Roman" w:cs="Times New Roman" w:eastAsia="Times New Roman" w:hAnsi="Times New Roman"/>
                <w:sz w:val="23"/>
                <w:szCs w:val="23"/>
                <w:color w:val="auto"/>
                <w:vertAlign w:val="superscript"/>
              </w:rPr>
              <w:t>(5)</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1,633,204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0" w:type="dxa"/>
            <w:vAlign w:val="bottom"/>
          </w:tcPr>
          <w:p>
            <w:pPr>
              <w:spacing w:after="0"/>
              <w:rPr>
                <w:sz w:val="1"/>
                <w:szCs w:val="1"/>
                <w:color w:val="auto"/>
              </w:rPr>
            </w:pPr>
          </w:p>
        </w:tc>
      </w:tr>
      <w:tr>
        <w:trPr>
          <w:trHeight w:val="23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Directors and Director Nominees</w:t>
            </w:r>
          </w:p>
        </w:tc>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Paula Ragan, Ph.D. </w:t>
            </w:r>
            <w:r>
              <w:rPr>
                <w:rFonts w:ascii="Times New Roman" w:cs="Times New Roman" w:eastAsia="Times New Roman" w:hAnsi="Times New Roman"/>
                <w:sz w:val="9"/>
                <w:szCs w:val="9"/>
                <w:color w:val="auto"/>
              </w:rPr>
              <w:t>(6)</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554,745</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8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Adam S. Mostafa </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70,273</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Derek Meisner </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36,667</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William E. Aliski </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Gary J. Bridger, Ph.D </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Francoise de Craecker </w:t>
            </w:r>
            <w:r>
              <w:rPr>
                <w:rFonts w:ascii="Times New Roman" w:cs="Times New Roman" w:eastAsia="Times New Roman" w:hAnsi="Times New Roman"/>
                <w:sz w:val="23"/>
                <w:szCs w:val="23"/>
                <w:color w:val="auto"/>
                <w:vertAlign w:val="superscript"/>
              </w:rPr>
              <w:t>(7)</w:t>
            </w:r>
          </w:p>
        </w:tc>
        <w:tc>
          <w:tcPr>
            <w:tcW w:w="29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Alison Lawton </w:t>
            </w:r>
            <w:r>
              <w:rPr>
                <w:rFonts w:ascii="Times New Roman" w:cs="Times New Roman" w:eastAsia="Times New Roman" w:hAnsi="Times New Roman"/>
                <w:sz w:val="23"/>
                <w:szCs w:val="23"/>
                <w:color w:val="auto"/>
                <w:vertAlign w:val="superscript"/>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David McGirr, M.B.A </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Murray W. Stewart, M.D. </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Michael S. Wyzga </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86,605</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All directors and current executive officers as a group (13 people) </w:t>
            </w:r>
            <w:r>
              <w:rPr>
                <w:rFonts w:ascii="Times New Roman" w:cs="Times New Roman" w:eastAsia="Times New Roman" w:hAnsi="Times New Roman"/>
                <w:sz w:val="9"/>
                <w:szCs w:val="9"/>
                <w:color w:val="auto"/>
              </w:rPr>
              <w:t>(8)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1,019,552</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526"/>
        </w:trPr>
        <w:tc>
          <w:tcPr>
            <w:tcW w:w="2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than one percent.</w:t>
            </w: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in part on information provided in a Schedule 13G/A filed by entities affiliated with Biotechnology Value Fund, L.P. (“BVF”) on February 14, 2022. Consists of</w:t>
      </w:r>
    </w:p>
    <w:p>
      <w:pPr>
        <w:spacing w:after="0" w:line="23" w:lineRule="exact"/>
        <w:rPr>
          <w:rFonts w:ascii="Times New Roman" w:cs="Times New Roman" w:eastAsia="Times New Roman" w:hAnsi="Times New Roman"/>
          <w:sz w:val="16"/>
          <w:szCs w:val="16"/>
          <w:color w:val="auto"/>
        </w:rPr>
      </w:pPr>
    </w:p>
    <w:p>
      <w:pPr>
        <w:ind w:left="340" w:right="120" w:hanging="8"/>
        <w:spacing w:after="0" w:line="238" w:lineRule="auto"/>
        <w:tabs>
          <w:tab w:leader="none" w:pos="53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462,289 shares of common stock held by BVF, 320,620 shares of common stock held by Biotechnology Value Fund II, L.P. (“BVF II”), 47,235 shares of common stock held by Biotechnology Value Trading Fund OS LP (“Trading Fund OS”) and 78,824 shares of common stock held by certain account managed by BVF Partners L.P. (the “Partners Managed Account”), (ii) 450,314 shares of common stock issuable upon the exercise of Class A warrants to purchase common stock (“Class A Warrants”) held by BVF, 363,810 shares of common stock issuable upon the exercise of Class A Warrants held by BVF II, 64,996 shares of common stock issuable upon the exercise of Class A Warrants held by Trading Fund OS and 31,630 shares of common stock issuable upon the exercise of Class A Warrants held by Partners Managed Account, (iii) 259,739 shares of common stock issuable upon the exercise of pre-funded warrants (the “Pre-Funded Warrants”) held by BVF, 204,465 shares of common stock issuable upon the exercise of Pre-Funded Warrants held by BVF II and 35,796 shares of common stock issuable upon the exercise of Pre-Funded Warrants held by Trading Fund OS, and (iv) 518,856 shares of common stock issuable upon the exercise of Class B warrants to purchase common stock (“Class B Warrants”) held by BVF, 385,449 shares of common stock issuable upon the exercise of Class B Warrants held by BVF II, 66,236 shares of common stock issuable upon the exercise of Class B Warrants held by Trading Fund OS and 29,459 shares of common stock issuable upon the exercise of Class B Warrants held by Partners</w:t>
      </w:r>
    </w:p>
    <w:p>
      <w:pPr>
        <w:spacing w:after="0" w:line="20" w:lineRule="exact"/>
        <w:rPr>
          <w:sz w:val="20"/>
          <w:szCs w:val="20"/>
          <w:color w:val="auto"/>
        </w:rPr>
      </w:pPr>
    </w:p>
    <w:p>
      <w:pPr>
        <w:ind w:left="340"/>
        <w:spacing w:after="0" w:line="243" w:lineRule="auto"/>
        <w:rPr>
          <w:sz w:val="20"/>
          <w:szCs w:val="20"/>
          <w:color w:val="auto"/>
        </w:rPr>
      </w:pPr>
      <w:r>
        <w:rPr>
          <w:rFonts w:ascii="Times New Roman" w:cs="Times New Roman" w:eastAsia="Times New Roman" w:hAnsi="Times New Roman"/>
          <w:sz w:val="16"/>
          <w:szCs w:val="16"/>
          <w:color w:val="auto"/>
        </w:rPr>
        <w:t>Managed Account. Each of the Class A Warrants, the Pre-Funded Warrants and the Class B Warrants contain provisions that restrict the exercise of such securities to the extent that such exercises would, (i) in the case of the Class A warrants, Class B warrants and the Pre-Funded warrants, cause the number of shares then beneficially owned by the holder, together with its affiliates and other attribution parties, to exceed 9.99% of the total number of shares of common stock then outstanding, or (ii) in the case of the Pre-Funded Warrants, cause the combined voting power of our securities beneficially owned by the holder, together with its affiliates, to exceed 9.99% of the combined voting power of all of our securities then outstanding immediately after giving effect to the exercise (together, the “Ownership Caps”). BVF I GP LLC (“BVF GP”), as the general partner of BVF, may be deemed to beneficially own the securities beneficially owned by BVF. BVF II GP LLC (“BVF II GP”), as the general partner of BVF II, may be deemed to beneficially own the securities beneficially owned by BVF II. BVF Partners OS Ltd. (“Partners OS”), as the general partner of Trading Fund OS, may be</w:t>
      </w:r>
    </w:p>
    <w:p>
      <w:pPr>
        <w:sectPr>
          <w:pgSz w:w="11900" w:h="16838" w:orient="portrait"/>
          <w:cols w:equalWidth="0" w:num="1">
            <w:col w:w="11240"/>
          </w:cols>
          <w:pgMar w:left="320" w:top="603" w:right="3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603" w:right="339" w:bottom="1440" w:gutter="0" w:footer="0" w:header="0"/>
          <w:type w:val="continuous"/>
        </w:sectPr>
      </w:pPr>
    </w:p>
    <w:bookmarkStart w:id="23" w:name="page24"/>
    <w:bookmarkEnd w:id="23"/>
    <w:p>
      <w:pPr>
        <w:ind w:left="340" w:right="20"/>
        <w:spacing w:after="0" w:line="239" w:lineRule="auto"/>
        <w:rPr>
          <w:sz w:val="20"/>
          <w:szCs w:val="20"/>
          <w:color w:val="auto"/>
        </w:rPr>
      </w:pPr>
      <w:r>
        <w:rPr>
          <w:rFonts w:ascii="Times New Roman" w:cs="Times New Roman" w:eastAsia="Times New Roman" w:hAnsi="Times New Roman"/>
          <w:sz w:val="16"/>
          <w:szCs w:val="16"/>
          <w:color w:val="auto"/>
        </w:rPr>
        <w:t>deemed to beneficially own the securities beneficially owned by Trading Fund OS. BVF GP Holdings LLC (“BVF GPH”), as the sole member of each of BVF GP and BVF II GP, may be deemed to beneficially own the securities beneficially owned in the aggregate by BVF and BVF II. BVF Partners L.P. (“Partners”), as the investment manager of BVF, BVF II and Trading Fund OS, and the sole member of Partners OS, may be deemed to beneficially own the securities beneficially owned by BVF, BVF II and Trading Fund OS, and held in a certain Partners managed account (the “Partners Managed Account”). BVF Inc., as the general partner of Partners, may be deemed to beneficially own the securities beneficially owned by Partners. Mark N. Lampert, as a director and officer of BVF Inc., may be deemed to beneficially own the securities beneficially owned by BVF Inc. BVF GP disclaims beneficial ownership of the securities beneficially owned by BVF. BVF II GP disclaims beneficial ownership of the securities beneficially owned by BVF II. Partners OS disclaims beneficial ownership of the securities beneficially owned by Trading Fund OS. BVF GPH disclaims beneficial ownership of the securities beneficially owned by BVF and BVF II. Each of Partners, BVF Inc. and Mr. Lampert disclaims beneficial ownership of the securities beneficially owned by BVF, BVF II and Trading Fund OS and held in the Partners Managed Account. The address of BVF, BVF GP, BVF II, BVF II GP, BVF GPH, Partners, BVF, Inc. and Mr. Lampert is 44 Montgomery St., 40th Floor, San Francisco, California 94104 and the address of Trading Fund OS and Partners OS is P.O. Box 309 Ugland House, Grand Cayman, KY1-1104, Cayman Islands.</w:t>
      </w:r>
    </w:p>
    <w:p>
      <w:pPr>
        <w:spacing w:after="0" w:line="226" w:lineRule="exact"/>
        <w:rPr>
          <w:sz w:val="20"/>
          <w:szCs w:val="20"/>
          <w:color w:val="auto"/>
        </w:rPr>
      </w:pPr>
    </w:p>
    <w:p>
      <w:pPr>
        <w:ind w:left="340" w:hanging="332"/>
        <w:spacing w:after="0" w:line="238" w:lineRule="auto"/>
        <w:tabs>
          <w:tab w:leader="none" w:pos="36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in part on a Schedule 13G/A filed by Bain Capital Life Sciences Fund, L.P. (“BCLS”), Bain Capital Life Sciences Fund II, L.P. (“BCLS II”), and BCIP Life Sciences Associates, LP (“BCIP LS”) and BCLS II Investco, LP (collectively, the “Bain Capital Holders”) on February 14, 2022. Consists of (i) 566,966 shares of common stock held by BCLS and 66,365 shares of common stock issuable upon exercise of Class B Warrants held by BCLS, (ii) 1,332,276 shares of common stock held by BCLS II, (iii) 220,298 shares of common stock held by BCIP LS, and (iv) 900,000 shares of common stock held by BCLS II Investco, LP. As a result of the ownership cap of 9.99% of the outstanding shares of common stock of the Company, the following have been excluded from the amounts reported above as beneficially owned: (a) 566,966 shares of common stock issuable upon exercise of November 2019 Pre-Funded Warrants and 1,067,567 shares of common stock issuable upon exercise of Class B Warrants held by BCLS, (b) 557,143 shares of common stock issuable upon exercise of November 2019 Pre-Funded Warrants, 1,114,286 shares of common stock issuable upon exercise of Class B Warrants and 44,571 shares of common stock issuable upon exercise of March 2021 Pre-Funded Warrants held by BCLS II, (c) 125,891 shares of common stock issuable upon exercise of November 2019 Pre-Funded Warrants, 251,782 shares of common stock issuable upon exercise of Class B Warrants, and 5,429 shares of common stock issuable upon exercise of March 2021 Pre-Funded Warrants held by BCIP LS, and (d) 2,008,032 shares of common stock issuable upon exercise of November 2021 Pre-Funded Warrants and 766,666 shares of common stock issuable upon exercise of March 2022 Pre-Funded Warrants held by BCLS II Investco, LP. Bain Capital Life Sciences Investors, LLC, (“BCLSI”), whose managers are Jeffrey Schwartz and Adam Koppel, is (i) the general partner of Bain Capital Life Sciences Partners, LP, a Cayman exempted limited partnership (“BCLSP”), which is the general partner of BCLS and (ii) the manager of Bain Capital Life Sciences Investors II, LLC (“BCLSI II”), which is the general partner of BCLS II. Boylston Coinvestors, LLC, a Delaware limited liability company (“Boylston”), is the general partner of BCIP LS. BCLSI governs the investment strategy and decision-making process with respect to investments held by BCIP LS. BCLS II Investco (GP), LLC, a Delaware limited liability company (“BCLS II Investco GP”), whose manager is BCLS II, is the general partner of BCLS II Investco, LP. As a result, each of BCLSI, Mr. Schwartz and Dr. Koppel may be deemed to share voting and dispositive power with respect to the securities held by the Bain Capital Holders. The address of each of the Bain Capital Holders, BCLSI, BCLSP, BCLSI II, Boylston, BCLS II Investco GP, Mr. Schwartz and Dr. Koppel is 200 Clarendon Street, Boston, MA 02116.</w:t>
      </w:r>
    </w:p>
    <w:p>
      <w:pPr>
        <w:spacing w:after="0" w:line="28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on February 14, 2022. Represents 2,264,491 shares of common stock held by Ikarian Healthcare Master Fund, L.P, (the “Ikarian</w:t>
      </w:r>
    </w:p>
    <w:p>
      <w:pPr>
        <w:spacing w:after="0" w:line="86"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6"/>
          <w:szCs w:val="16"/>
          <w:color w:val="auto"/>
        </w:rPr>
        <w:t>Fund”). The Ikarian Fund and certain separately managed accounts managed by Ikarian Capital, LLC (collectively, the “Ikarian Managed Accounts”) are the record and direct beneficial owners of the shares of common stock disclosed herein. Ikarian Capital, LLC is the investment manager of the Ikarian Fund and sub-adviser to the Ikarian Managed Accounts, and may be deemed to indirectly beneficially own securities owned by, the Ikarian Fund and the Ikarian Managed Accounts. Ikarian Capital, LLC is ultimately owned and controlled, indirectly, by Chart Westcott and Neil Shahrestani. Accordingly, each of Mr. Westcott and Mr. Shahrestani may be deemed to indirectly beneficially own securities beneficially owned by Ikarian Capital, LLC. The Ikarian Fund disclaims beneficial ownership of the shares held by the Ikarian Managed Accounts. The Ikarian Managed Accounts disclaim beneficial ownership of the shares held by the Ikarian Fund. The address of the aforementioned Ikarian parties is c/o Ikarian Capital, LLC, 100 Crescent Court, Suite 1620, Dallas, Texas 75201.</w:t>
      </w:r>
    </w:p>
    <w:p>
      <w:pPr>
        <w:spacing w:after="0" w:line="214" w:lineRule="exact"/>
        <w:rPr>
          <w:sz w:val="20"/>
          <w:szCs w:val="20"/>
          <w:color w:val="auto"/>
        </w:rPr>
      </w:pPr>
    </w:p>
    <w:p>
      <w:pPr>
        <w:ind w:left="340" w:right="20" w:hanging="332"/>
        <w:spacing w:after="0" w:line="268" w:lineRule="auto"/>
        <w:tabs>
          <w:tab w:leader="none" w:pos="24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by Lincoln Park Capital Fund, LLC on January 19, 2022. Consists of (i) 197,185 shares of common stock owned by Lincoln Park Capital Fund, LLC (“LPC Fund”) prior to January 14, 2022, (ii) 1,612,902 shares of common stock purchased by LPC Fund directly from the Company on January 14, 2022 and (iii) up to 3,000 shares of common stock issuable upon exercise of warrants purchased by LPC Fund directly from the Company in November 2019. Rockledge Capital Corporation (“RCC”) and Alex Noah Investors, Inc. (“Alex Noah”) are the Managing Members of Lincoln Park Capital, LLC (“LPC”). Joshua B. Scheinfeld is the president and sole shareholder of RCC, as well as a principal of LPC. Jonathan I. Cope is the president and sole shareholder of Alex Noah, as well as a principal of LPC. As a result of the foregoing, Mr. Scheinfeld and Mr. Cope have shared voting and shared investment power over the securities held directly by LPC Fund. Each of LPC, RCC, Mr. Scheinfeld, Alex Noah, and Mr. Cope may be deemed to be a beneficial owner of the securities beneficially owned directly by LPC Fund. Each of LPC, RCC, Mr. Scheinfeld, Alex Noah, and Mr. Cope disclaims beneficial ownership of the securities held directly by LPC Fund. The address of the principal business office of each of the aforementioned beneficial owners is 440 North Wells, Suite 410, Chicago, Illinois 60654.</w:t>
      </w:r>
    </w:p>
    <w:p>
      <w:pPr>
        <w:spacing w:after="0" w:line="200" w:lineRule="exact"/>
        <w:rPr>
          <w:rFonts w:ascii="Times New Roman" w:cs="Times New Roman" w:eastAsia="Times New Roman" w:hAnsi="Times New Roman"/>
          <w:sz w:val="16"/>
          <w:szCs w:val="16"/>
          <w:color w:val="auto"/>
        </w:rPr>
      </w:pPr>
    </w:p>
    <w:p>
      <w:pPr>
        <w:spacing w:after="0" w:line="259" w:lineRule="exact"/>
        <w:rPr>
          <w:rFonts w:ascii="Times New Roman" w:cs="Times New Roman" w:eastAsia="Times New Roman" w:hAnsi="Times New Roman"/>
          <w:sz w:val="16"/>
          <w:szCs w:val="16"/>
          <w:color w:val="auto"/>
        </w:rPr>
      </w:pPr>
    </w:p>
    <w:p>
      <w:pPr>
        <w:ind w:left="340" w:right="80" w:hanging="332"/>
        <w:spacing w:after="0" w:line="275" w:lineRule="auto"/>
        <w:tabs>
          <w:tab w:leader="none" w:pos="24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by Point72 Asset Management, L.P. on February 14, 2022. Point72 Asset Management, L.P. ("Point72 Asset Management”), Point72 Capital Advisors Inc., Cubist Systematic Strategies, LLC, and Steven A. Cohen own directly none of the securities disclosed above. Pursuant to an investment management agreement, Point72 Asset Management maintains investment and voting power with respect to the securities held by certain investment funds it manages. Point72 Capital Advisors Inc. is the general partner of Point72 Asset Management. Pursuant to an investment management agreement, Cubist Systematic Strategies,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598" w:right="339" w:bottom="1440" w:gutter="0" w:footer="0" w:header="0"/>
        </w:sectPr>
      </w:pPr>
    </w:p>
    <w:bookmarkStart w:id="24" w:name="page25"/>
    <w:bookmarkEnd w:id="24"/>
    <w:p>
      <w:pPr>
        <w:ind w:left="332"/>
        <w:spacing w:after="0" w:line="271" w:lineRule="auto"/>
        <w:rPr>
          <w:sz w:val="20"/>
          <w:szCs w:val="20"/>
          <w:color w:val="auto"/>
        </w:rPr>
      </w:pPr>
      <w:r>
        <w:rPr>
          <w:rFonts w:ascii="Times New Roman" w:cs="Times New Roman" w:eastAsia="Times New Roman" w:hAnsi="Times New Roman"/>
          <w:sz w:val="16"/>
          <w:szCs w:val="16"/>
          <w:color w:val="auto"/>
        </w:rPr>
        <w:t>LLC maintains investment and voting power with respect to the securities held by certain investment funds it manages. Mr. Cohen controls each of Point72 Asset Management, Point72 Capital Advisors Inc., and Cubist Systematic Strategies, LLC. As such, each of Point72 Asset Management, Point72 Capital Advisors Inc. and Mr. Cohen may be deemed to beneficially own the securities disclosed herein. Each of Point72 Asset Management, Point72 Capital Advisors Inc., Cubist Systematic Strategies, LLC, and Mr. Cohen disclaims beneficial ownership of any of such securities. The address of the principal business office of (i) Point72 Asset Management, Point72 Capital Advisors Inc. and Mr. Cohen is 72 Cummings Point Road, Stamford, CT 06902; and (ii) Cubist Systematic Strategies, LLC is 55 Hudson Yards, New York, NY 10001.</w:t>
      </w:r>
    </w:p>
    <w:p>
      <w:pPr>
        <w:spacing w:after="0" w:line="211" w:lineRule="exact"/>
        <w:rPr>
          <w:sz w:val="20"/>
          <w:szCs w:val="20"/>
          <w:color w:val="auto"/>
        </w:rPr>
      </w:pPr>
    </w:p>
    <w:p>
      <w:pPr>
        <w:ind w:left="332" w:right="60" w:hanging="332"/>
        <w:spacing w:after="0" w:line="281" w:lineRule="auto"/>
        <w:tabs>
          <w:tab w:leader="none" w:pos="23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233,372 shares of common stock, 307,491 shares of common stock underlying options that were exercisable as of April 11, 2022 or will become exercisable within 60 days after such date, and 13,982 shares of common stock underlying restricted stock units that were vested as of April 11, 2022 or will become exercisable within 60 days after such date.</w:t>
      </w:r>
    </w:p>
    <w:p>
      <w:pPr>
        <w:spacing w:after="0" w:line="204" w:lineRule="exact"/>
        <w:rPr>
          <w:rFonts w:ascii="Times New Roman" w:cs="Times New Roman" w:eastAsia="Times New Roman" w:hAnsi="Times New Roman"/>
          <w:sz w:val="16"/>
          <w:szCs w:val="16"/>
          <w:color w:val="auto"/>
        </w:rPr>
      </w:pPr>
    </w:p>
    <w:p>
      <w:pPr>
        <w:ind w:left="232" w:hanging="232"/>
        <w:spacing w:after="0"/>
        <w:tabs>
          <w:tab w:leader="none" w:pos="2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underlying options that were exercisable as of April 11, 2022 or will become exercisable within 60 days after such date.</w:t>
      </w:r>
    </w:p>
    <w:p>
      <w:pPr>
        <w:spacing w:after="0" w:line="26" w:lineRule="exact"/>
        <w:rPr>
          <w:rFonts w:ascii="Times New Roman" w:cs="Times New Roman" w:eastAsia="Times New Roman" w:hAnsi="Times New Roman"/>
          <w:sz w:val="16"/>
          <w:szCs w:val="16"/>
          <w:color w:val="auto"/>
        </w:rPr>
      </w:pPr>
    </w:p>
    <w:p>
      <w:pPr>
        <w:ind w:left="332" w:right="180" w:hanging="332"/>
        <w:spacing w:after="0" w:line="276" w:lineRule="auto"/>
        <w:tabs>
          <w:tab w:leader="none" w:pos="35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241,923 shares of common stock, 763,647 shares of common stock underlying options that were exercisable as of April 11, 2022 or will become exercisable within 60 days after such date, and 13,982 shares of common stock underlying restricted stock units that were vested as of April 11, 2022 or will become exercisable within 60 days after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92"/>
          </w:cols>
          <w:pgMar w:left="328" w:top="612" w:right="379" w:bottom="1440" w:gutter="0" w:footer="0" w:header="0"/>
        </w:sectPr>
      </w:pPr>
    </w:p>
    <w:bookmarkStart w:id="25" w:name="page26"/>
    <w:bookmarkEnd w:id="2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70"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8"/>
          <w:szCs w:val="18"/>
          <w:color w:val="auto"/>
        </w:rPr>
        <w:t>Our Compensation Committee is primarily responsible for establishing and reviewing our general compensation strategy, see the section captioned “Compensation Committee Processes and Procedure.”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3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years ended December 31, 2021 and December 31, 2020 to (1) the individual who served as our Chief Executive Officer during the fiscal year ended December 31, 2021, and (2) our two next most highly compensated executive officers who earned more than $100,000 during the fiscal year ended December 31, 2021 and were serving as executive officers as of such date. We refer to these three individuals in this Proxy Statement as our Named Executive Officers.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2021 who appear in the Summary Compensation Table are:</w:t>
      </w:r>
    </w:p>
    <w:p>
      <w:pPr>
        <w:spacing w:after="0" w:line="198" w:lineRule="exact"/>
        <w:rPr>
          <w:sz w:val="20"/>
          <w:szCs w:val="20"/>
          <w:color w:val="auto"/>
        </w:rPr>
      </w:pPr>
    </w:p>
    <w:p>
      <w:pPr>
        <w:ind w:left="980" w:hanging="441"/>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Paula Ragan, Ph.D., our President and Chief Executive Officer;</w:t>
      </w:r>
    </w:p>
    <w:p>
      <w:pPr>
        <w:spacing w:after="0" w:line="319"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S. Mostafa, our Chief Financial Officer and Treasurer; and</w:t>
      </w:r>
    </w:p>
    <w:p>
      <w:pPr>
        <w:spacing w:after="0" w:line="319"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Derek Meisner, J.D., Chief Legal Officer and Corporate Secretary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13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2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9"/>
                <w:szCs w:val="19"/>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25"/>
                <w:szCs w:val="25"/>
                <w:b w:val="1"/>
                <w:bCs w:val="1"/>
                <w:color w:val="auto"/>
                <w:w w:val="93"/>
                <w:vertAlign w:val="subscript"/>
              </w:rPr>
              <w:t>($)</w:t>
            </w:r>
            <w:r>
              <w:rPr>
                <w:rFonts w:ascii="Times New Roman" w:cs="Times New Roman" w:eastAsia="Times New Roman" w:hAnsi="Times New Roman"/>
                <w:sz w:val="9"/>
                <w:szCs w:val="9"/>
                <w:b w:val="1"/>
                <w:bCs w:val="1"/>
                <w:color w:val="auto"/>
                <w:w w:val="93"/>
              </w:rPr>
              <w:t xml:space="preserve"> (2) (3)</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 xml:space="preserve">($) </w:t>
            </w:r>
            <w:r>
              <w:rPr>
                <w:rFonts w:ascii="Times New Roman" w:cs="Times New Roman" w:eastAsia="Times New Roman" w:hAnsi="Times New Roman"/>
                <w:sz w:val="18"/>
                <w:szCs w:val="18"/>
                <w:b w:val="1"/>
                <w:bCs w:val="1"/>
                <w:color w:val="auto"/>
                <w:w w:val="86"/>
                <w:vertAlign w:val="superscript"/>
              </w:rPr>
              <w:t>(4)</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 xml:space="preserve">($) </w:t>
            </w:r>
            <w:r>
              <w:rPr>
                <w:rFonts w:ascii="Times New Roman" w:cs="Times New Roman" w:eastAsia="Times New Roman" w:hAnsi="Times New Roman"/>
                <w:sz w:val="18"/>
                <w:szCs w:val="18"/>
                <w:b w:val="1"/>
                <w:bCs w:val="1"/>
                <w:color w:val="auto"/>
                <w:w w:val="92"/>
                <w:vertAlign w:val="superscript"/>
              </w:rPr>
              <w:t>(5)</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8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Paula Ragan, Ph.D.</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562,126</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1,258,272</w:t>
            </w:r>
          </w:p>
        </w:tc>
        <w:tc>
          <w:tcPr>
            <w:tcW w:w="140" w:type="dxa"/>
            <w:vAlign w:val="bottom"/>
          </w:tcPr>
          <w:p>
            <w:pPr>
              <w:spacing w:after="0"/>
              <w:rPr>
                <w:sz w:val="16"/>
                <w:szCs w:val="16"/>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309,330</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2,141,328</w:t>
            </w:r>
          </w:p>
        </w:tc>
        <w:tc>
          <w:tcPr>
            <w:tcW w:w="0" w:type="dxa"/>
            <w:vAlign w:val="bottom"/>
          </w:tcPr>
          <w:p>
            <w:pPr>
              <w:spacing w:after="0"/>
              <w:rPr>
                <w:sz w:val="1"/>
                <w:szCs w:val="1"/>
                <w:color w:val="auto"/>
              </w:rPr>
            </w:pP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543,400</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1,690,827</w:t>
            </w:r>
          </w:p>
        </w:tc>
        <w:tc>
          <w:tcPr>
            <w:tcW w:w="140" w:type="dxa"/>
            <w:vAlign w:val="bottom"/>
          </w:tcPr>
          <w:p>
            <w:pPr>
              <w:spacing w:after="0"/>
              <w:rPr>
                <w:sz w:val="16"/>
                <w:szCs w:val="16"/>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271,700</w:t>
            </w: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2,513,532</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Adam S. Mostafa</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430,193</w:t>
            </w:r>
          </w:p>
        </w:tc>
        <w:tc>
          <w:tcPr>
            <w:tcW w:w="1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723,518</w:t>
            </w:r>
          </w:p>
        </w:tc>
        <w:tc>
          <w:tcPr>
            <w:tcW w:w="140" w:type="dxa"/>
            <w:vAlign w:val="bottom"/>
          </w:tcPr>
          <w:p>
            <w:pPr>
              <w:spacing w:after="0"/>
              <w:rPr>
                <w:sz w:val="24"/>
                <w:szCs w:val="24"/>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185,220</w:t>
            </w:r>
          </w:p>
        </w:tc>
        <w:tc>
          <w:tcPr>
            <w:tcW w:w="140" w:type="dxa"/>
            <w:vAlign w:val="bottom"/>
          </w:tcPr>
          <w:p>
            <w:pPr>
              <w:spacing w:after="0"/>
              <w:rPr>
                <w:sz w:val="24"/>
                <w:szCs w:val="24"/>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1,338,931</w:t>
            </w:r>
          </w:p>
        </w:tc>
        <w:tc>
          <w:tcPr>
            <w:tcW w:w="0" w:type="dxa"/>
            <w:vAlign w:val="bottom"/>
          </w:tcPr>
          <w:p>
            <w:pPr>
              <w:spacing w:after="0"/>
              <w:rPr>
                <w:sz w:val="1"/>
                <w:szCs w:val="1"/>
                <w:color w:val="auto"/>
              </w:rPr>
            </w:pPr>
          </w:p>
        </w:tc>
      </w:tr>
      <w:tr>
        <w:trPr>
          <w:trHeight w:val="67"/>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420" w:type="dxa"/>
            <w:vAlign w:val="bottom"/>
            <w:gridSpan w:val="2"/>
            <w:vMerge w:val="continue"/>
          </w:tcPr>
          <w:p>
            <w:pPr>
              <w:spacing w:after="0"/>
              <w:rPr>
                <w:sz w:val="10"/>
                <w:szCs w:val="10"/>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612,950</w:t>
            </w:r>
          </w:p>
        </w:tc>
        <w:tc>
          <w:tcPr>
            <w:tcW w:w="140" w:type="dxa"/>
            <w:vAlign w:val="bottom"/>
          </w:tcPr>
          <w:p>
            <w:pPr>
              <w:spacing w:after="0"/>
              <w:rPr>
                <w:sz w:val="10"/>
                <w:szCs w:val="10"/>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163,600</w:t>
            </w:r>
          </w:p>
        </w:tc>
        <w:tc>
          <w:tcPr>
            <w:tcW w:w="140" w:type="dxa"/>
            <w:vAlign w:val="bottom"/>
          </w:tcPr>
          <w:p>
            <w:pPr>
              <w:spacing w:after="0"/>
              <w:rPr>
                <w:sz w:val="10"/>
                <w:szCs w:val="10"/>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1,176,550</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Derek Meisner</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428,173</w:t>
            </w:r>
          </w:p>
        </w:tc>
        <w:tc>
          <w:tcPr>
            <w:tcW w:w="1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415,234</w:t>
            </w:r>
          </w:p>
        </w:tc>
        <w:tc>
          <w:tcPr>
            <w:tcW w:w="140" w:type="dxa"/>
            <w:vAlign w:val="bottom"/>
          </w:tcPr>
          <w:p>
            <w:pPr>
              <w:spacing w:after="0"/>
              <w:rPr>
                <w:sz w:val="24"/>
                <w:szCs w:val="24"/>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184,338</w:t>
            </w:r>
          </w:p>
        </w:tc>
        <w:tc>
          <w:tcPr>
            <w:tcW w:w="1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11,524</w:t>
            </w:r>
          </w:p>
        </w:tc>
        <w:tc>
          <w:tcPr>
            <w:tcW w:w="1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1,039,269</w:t>
            </w:r>
          </w:p>
        </w:tc>
        <w:tc>
          <w:tcPr>
            <w:tcW w:w="0" w:type="dxa"/>
            <w:vAlign w:val="bottom"/>
          </w:tcPr>
          <w:p>
            <w:pPr>
              <w:spacing w:after="0"/>
              <w:rPr>
                <w:sz w:val="1"/>
                <w:szCs w:val="1"/>
                <w:color w:val="auto"/>
              </w:rPr>
            </w:pPr>
          </w:p>
        </w:tc>
      </w:tr>
      <w:tr>
        <w:trPr>
          <w:trHeight w:val="95"/>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Chief Legal Officer and Corporate Secretary</w:t>
            </w: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93"/>
              </w:rPr>
              <w:t>(1)</w:t>
            </w: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w:t>
            </w:r>
          </w:p>
        </w:tc>
        <w:tc>
          <w:tcPr>
            <w:tcW w:w="26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471,500</w:t>
            </w:r>
          </w:p>
        </w:tc>
        <w:tc>
          <w:tcPr>
            <w:tcW w:w="14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162,400</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6489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right="20" w:hanging="394"/>
        <w:spacing w:after="0" w:line="302" w:lineRule="auto"/>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“Bonus” column reflect a “Start Bonus” payable to Mr. Meisner pursuant to his employment agreement totaling $135,000, half of which was payable in 2019 and half of which was payable in 2020.</w:t>
      </w:r>
    </w:p>
    <w:p>
      <w:pPr>
        <w:spacing w:after="0" w:line="13" w:lineRule="exact"/>
        <w:rPr>
          <w:rFonts w:ascii="Times New Roman" w:cs="Times New Roman" w:eastAsia="Times New Roman" w:hAnsi="Times New Roman"/>
          <w:sz w:val="14"/>
          <w:szCs w:val="14"/>
          <w:color w:val="auto"/>
        </w:rPr>
      </w:pPr>
    </w:p>
    <w:p>
      <w:pPr>
        <w:jc w:val="both"/>
        <w:ind w:left="420" w:hanging="394"/>
        <w:spacing w:after="0" w:line="292" w:lineRule="auto"/>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column reflect the aggregate fair value of stock-based compensation awarded during the year computed in accordance with the provisions of Financial Accounting Standards Board, Accounting Standards Codification Topic 718, or ASC 718. See Note 12 to the X4 Pharmaceuticals Inc. Annual Report on Form 10-K for the year ended December 31, 2021 filed with the SEC on March 17, 2022, regarding assumptions underlying the valuation of equity awards.</w:t>
      </w:r>
    </w:p>
    <w:p>
      <w:pPr>
        <w:spacing w:after="0" w:line="6" w:lineRule="exact"/>
        <w:rPr>
          <w:rFonts w:ascii="Times New Roman" w:cs="Times New Roman" w:eastAsia="Times New Roman" w:hAnsi="Times New Roman"/>
          <w:sz w:val="14"/>
          <w:szCs w:val="14"/>
          <w:color w:val="auto"/>
        </w:rPr>
      </w:pPr>
    </w:p>
    <w:p>
      <w:pPr>
        <w:ind w:left="420" w:right="140" w:hanging="394"/>
        <w:spacing w:after="0" w:line="292" w:lineRule="auto"/>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column for fiscal year 2020 reflect the grant date fair value for performance-based restricted stock units, or PRSUs, granted to our Named Executive Officers, which are reported based upon the probable outcome of the performance conditions on the grant date. The value of the PRSUs granted in fiscal year 2020, assuming achievement of the maximum performance level, would have been: Dr. Ragan: $1,690,827, Mr. Mostafa: $612,950, and Mr. Meisner: $471,500.</w:t>
      </w:r>
    </w:p>
    <w:p>
      <w:pPr>
        <w:spacing w:after="0" w:line="6" w:lineRule="exact"/>
        <w:rPr>
          <w:rFonts w:ascii="Times New Roman" w:cs="Times New Roman" w:eastAsia="Times New Roman" w:hAnsi="Times New Roman"/>
          <w:sz w:val="14"/>
          <w:szCs w:val="14"/>
          <w:color w:val="auto"/>
        </w:rPr>
      </w:pPr>
    </w:p>
    <w:p>
      <w:pPr>
        <w:ind w:left="420" w:hanging="394"/>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“Non-Equity Incentive Plan Compensation” column represent amounts earned pursuant to our annual bonus program, which is based upon our Named</w:t>
      </w:r>
    </w:p>
    <w:p>
      <w:pPr>
        <w:spacing w:after="0" w:line="82"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achievement of predetermined individual and/or company-wide performance goals. Amounts listed for fiscal year 2021, represents amounts earned for the 12-month</w:t>
      </w:r>
    </w:p>
    <w:p>
      <w:pPr>
        <w:spacing w:after="0" w:line="41" w:lineRule="exact"/>
        <w:rPr>
          <w:rFonts w:ascii="Times New Roman" w:cs="Times New Roman" w:eastAsia="Times New Roman" w:hAnsi="Times New Roman"/>
          <w:sz w:val="14"/>
          <w:szCs w:val="14"/>
          <w:color w:val="auto"/>
        </w:rPr>
      </w:pPr>
    </w:p>
    <w:p>
      <w:pPr>
        <w:ind w:left="420" w:right="300"/>
        <w:spacing w:after="0" w:line="31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 from January 1, 2021 to December 31, 2021 and paid in 2022. Amounts listed for fiscal year 2020 represents amounts earned for the 12-month period from January 1, 2020 to December 31, 2020 and paid in 2021.</w:t>
      </w:r>
    </w:p>
    <w:p>
      <w:pPr>
        <w:spacing w:after="0" w:line="1" w:lineRule="exact"/>
        <w:rPr>
          <w:rFonts w:ascii="Times New Roman" w:cs="Times New Roman" w:eastAsia="Times New Roman" w:hAnsi="Times New Roman"/>
          <w:sz w:val="14"/>
          <w:szCs w:val="14"/>
          <w:color w:val="auto"/>
        </w:rPr>
      </w:pPr>
    </w:p>
    <w:p>
      <w:pPr>
        <w:ind w:left="420" w:right="480" w:hanging="394"/>
        <w:spacing w:after="0" w:line="302" w:lineRule="auto"/>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“All Other Compensation” column for fiscal year 2021 reflect 401(k) matching contributions of $11,600 and $11,524 for Dr. Ragan and Mr. Meisner,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603" w:right="4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regarding outstanding equity awards at fiscal year-end for the Named Executive Officers.</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831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1215" cy="1714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Paula Ragan,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Adam S. Mostafa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Derek Meisner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8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3"/>
          </w:tcPr>
          <w:p>
            <w:pPr>
              <w:jc w:val="right"/>
              <w:ind w:right="953"/>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50"/>
        </w:trPr>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incentive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incentive</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plan awards: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plan awards: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market or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payout value</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unearned</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unearned</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 units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units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or other</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 other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300" w:type="dxa"/>
            <w:vAlign w:val="bottom"/>
          </w:tcPr>
          <w:p>
            <w:pPr>
              <w:spacing w:after="0"/>
              <w:rPr>
                <w:sz w:val="12"/>
                <w:szCs w:val="12"/>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rights that</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rights that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30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have not</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vested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w:t>
            </w:r>
          </w:p>
        </w:tc>
        <w:tc>
          <w:tcPr>
            <w:tcW w:w="0" w:type="dxa"/>
            <w:vAlign w:val="bottom"/>
          </w:tcPr>
          <w:p>
            <w:pPr>
              <w:spacing w:after="0"/>
              <w:rPr>
                <w:sz w:val="1"/>
                <w:szCs w:val="1"/>
                <w:color w:val="auto"/>
              </w:rPr>
            </w:pPr>
          </w:p>
        </w:tc>
      </w:tr>
      <w:tr>
        <w:trPr>
          <w:trHeight w:val="180"/>
        </w:trPr>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5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3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6"/>
        </w:trPr>
        <w:tc>
          <w:tcPr>
            <w:tcW w:w="960" w:type="dxa"/>
            <w:vAlign w:val="bottom"/>
            <w:tcBorders>
              <w:bottom w:val="single" w:sz="8" w:color="auto"/>
            </w:tcBorders>
          </w:tcPr>
          <w:p>
            <w:pPr>
              <w:spacing w:after="0"/>
              <w:rPr>
                <w:sz w:val="3"/>
                <w:szCs w:val="3"/>
                <w:color w:val="auto"/>
              </w:rPr>
            </w:pPr>
          </w:p>
        </w:tc>
        <w:tc>
          <w:tcPr>
            <w:tcW w:w="580" w:type="dxa"/>
            <w:vAlign w:val="bottom"/>
            <w:vMerge w:val="restart"/>
          </w:tcPr>
          <w:p>
            <w:pPr>
              <w:ind w:left="20"/>
              <w:spacing w:after="0"/>
              <w:rPr>
                <w:sz w:val="20"/>
                <w:szCs w:val="20"/>
                <w:color w:val="auto"/>
              </w:rPr>
            </w:pPr>
            <w:r>
              <w:rPr>
                <w:rFonts w:ascii="Calibri" w:cs="Calibri" w:eastAsia="Calibri" w:hAnsi="Calibri"/>
                <w:sz w:val="9"/>
                <w:szCs w:val="9"/>
                <w:color w:val="auto"/>
              </w:rPr>
              <w:t>(1)</w:t>
            </w: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1/19/2016</w:t>
            </w:r>
          </w:p>
        </w:tc>
        <w:tc>
          <w:tcPr>
            <w:tcW w:w="580" w:type="dxa"/>
            <w:vAlign w:val="bottom"/>
            <w:vMerge w:val="continue"/>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100,729</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1/18/2026</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1/24/2017</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65,430</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9"/>
                <w:szCs w:val="9"/>
                <w:color w:val="auto"/>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1/23/2027</w:t>
            </w: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1/31/2018</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80,160</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9"/>
                <w:szCs w:val="9"/>
                <w:color w:val="auto"/>
              </w:rPr>
              <w:t>(3)</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ind w:left="20"/>
              <w:spacing w:after="0"/>
              <w:rPr>
                <w:sz w:val="20"/>
                <w:szCs w:val="20"/>
                <w:color w:val="auto"/>
              </w:rPr>
            </w:pPr>
            <w:r>
              <w:rPr>
                <w:rFonts w:ascii="Times New Roman" w:cs="Times New Roman" w:eastAsia="Times New Roman" w:hAnsi="Times New Roman"/>
                <w:sz w:val="9"/>
                <w:szCs w:val="9"/>
                <w:color w:val="auto"/>
              </w:rPr>
              <w:t>(3)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1/30/2028</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9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6/17/2019</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54,181</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9"/>
                <w:szCs w:val="9"/>
                <w:color w:val="auto"/>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29,712</w:t>
            </w:r>
          </w:p>
        </w:tc>
        <w:tc>
          <w:tcPr>
            <w:tcW w:w="300" w:type="dxa"/>
            <w:vAlign w:val="bottom"/>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6/16/2029</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6/17/2019</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 (6)</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27,964</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64,038</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4/13/2020</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 (11)</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205,301</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3/24/2021</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(4),(12)</w:t>
            </w: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144,629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331,200</w:t>
            </w:r>
          </w:p>
        </w:tc>
        <w:tc>
          <w:tcPr>
            <w:tcW w:w="0" w:type="dxa"/>
            <w:vAlign w:val="bottom"/>
          </w:tcPr>
          <w:p>
            <w:pPr>
              <w:spacing w:after="0"/>
              <w:rPr>
                <w:sz w:val="1"/>
                <w:szCs w:val="1"/>
                <w:color w:val="auto"/>
              </w:rPr>
            </w:pPr>
          </w:p>
        </w:tc>
      </w:tr>
      <w:tr>
        <w:trPr>
          <w:trHeight w:val="43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10/4/2018</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52,194</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9"/>
                <w:szCs w:val="9"/>
                <w:color w:val="auto"/>
              </w:rPr>
              <w:t>(8)</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10,439</w:t>
            </w:r>
          </w:p>
        </w:tc>
        <w:tc>
          <w:tcPr>
            <w:tcW w:w="300" w:type="dxa"/>
            <w:vAlign w:val="bottom"/>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10/3/2028</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6/17/2019</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10,235</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9"/>
                <w:szCs w:val="9"/>
                <w:color w:val="auto"/>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300" w:type="dxa"/>
            <w:vAlign w:val="bottom"/>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6/16/2029</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6/17/2019</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(4),(7)</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12,096</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4/13/2020</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(4),(11)</w:t>
            </w: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74,425</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3/24/2021</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(4),(12)</w:t>
            </w: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83,163</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190,443</w:t>
            </w:r>
          </w:p>
        </w:tc>
        <w:tc>
          <w:tcPr>
            <w:tcW w:w="0" w:type="dxa"/>
            <w:vAlign w:val="bottom"/>
          </w:tcPr>
          <w:p>
            <w:pPr>
              <w:spacing w:after="0"/>
              <w:rPr>
                <w:sz w:val="1"/>
                <w:szCs w:val="1"/>
                <w:color w:val="auto"/>
              </w:rPr>
            </w:pPr>
          </w:p>
        </w:tc>
      </w:tr>
      <w:tr>
        <w:trPr>
          <w:trHeight w:val="321"/>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11/26/2019</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(9)</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29,792</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(9)</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25,208</w:t>
            </w:r>
          </w:p>
        </w:tc>
        <w:tc>
          <w:tcPr>
            <w:tcW w:w="300" w:type="dxa"/>
            <w:vAlign w:val="bottom"/>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Pr>
          <w:p>
            <w:pPr>
              <w:spacing w:after="0"/>
              <w:rPr>
                <w:sz w:val="24"/>
                <w:szCs w:val="24"/>
                <w:color w:val="auto"/>
              </w:rPr>
            </w:pPr>
          </w:p>
        </w:tc>
        <w:tc>
          <w:tcPr>
            <w:tcW w:w="1160" w:type="dxa"/>
            <w:vAlign w:val="bottom"/>
            <w:vMerge w:val="restart"/>
          </w:tcPr>
          <w:p>
            <w:pPr>
              <w:jc w:val="right"/>
              <w:ind w:right="497"/>
              <w:spacing w:after="0"/>
              <w:rPr>
                <w:sz w:val="20"/>
                <w:szCs w:val="20"/>
                <w:color w:val="auto"/>
              </w:rPr>
            </w:pPr>
            <w:r>
              <w:rPr>
                <w:rFonts w:ascii="Times New Roman" w:cs="Times New Roman" w:eastAsia="Times New Roman" w:hAnsi="Times New Roman"/>
                <w:sz w:val="13"/>
                <w:szCs w:val="13"/>
                <w:color w:val="auto"/>
                <w:w w:val="97"/>
              </w:rPr>
              <w:t>11/25/2029</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9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4/13/2020</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(4),(11)</w:t>
            </w: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57,250</w:t>
            </w:r>
          </w:p>
        </w:tc>
        <w:tc>
          <w:tcPr>
            <w:tcW w:w="0" w:type="dxa"/>
            <w:vAlign w:val="bottom"/>
          </w:tcPr>
          <w:p>
            <w:pPr>
              <w:spacing w:after="0"/>
              <w:rPr>
                <w:sz w:val="1"/>
                <w:szCs w:val="1"/>
                <w:color w:val="auto"/>
              </w:rPr>
            </w:pPr>
          </w:p>
        </w:tc>
      </w:tr>
      <w:tr>
        <w:trPr>
          <w:trHeight w:val="270"/>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3/24/2021</w:t>
            </w:r>
          </w:p>
        </w:tc>
        <w:tc>
          <w:tcPr>
            <w:tcW w:w="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(4),(12)</w:t>
            </w: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47,728</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000" w:space="420"/>
            <w:col w:w="9820"/>
          </w:cols>
          <w:pgMar w:left="320" w:top="1170" w:right="339" w:bottom="1440" w:gutter="0" w:footer="0" w:header="0"/>
          <w:type w:val="continuous"/>
        </w:sectPr>
      </w:pPr>
    </w:p>
    <w:p>
      <w:pPr>
        <w:spacing w:after="0" w:line="219" w:lineRule="exact"/>
        <w:rPr>
          <w:sz w:val="20"/>
          <w:szCs w:val="20"/>
          <w:color w:val="auto"/>
        </w:rPr>
      </w:pPr>
    </w:p>
    <w:p>
      <w:pPr>
        <w:ind w:left="440" w:hanging="414"/>
        <w:spacing w:after="0"/>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award was granted pursuant to the Company’s 2015 Employee, Director and Consultant Equity Incentive Plan. (“2015 Plan”).</w:t>
      </w:r>
    </w:p>
    <w:p>
      <w:pPr>
        <w:spacing w:after="0" w:line="176" w:lineRule="exact"/>
        <w:rPr>
          <w:rFonts w:ascii="Times New Roman" w:cs="Times New Roman" w:eastAsia="Times New Roman" w:hAnsi="Times New Roman"/>
          <w:sz w:val="14"/>
          <w:szCs w:val="14"/>
          <w:color w:val="auto"/>
        </w:rPr>
      </w:pPr>
    </w:p>
    <w:p>
      <w:pPr>
        <w:ind w:left="440" w:right="1220" w:hanging="414"/>
        <w:spacing w:after="0" w:line="322"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option vest, subject to continued service, as follows: 25% of the shares vested on January 24, 2018 with the remainder vesting over the next three years in substantially equal monthly installments thereafter.</w:t>
      </w:r>
    </w:p>
    <w:p>
      <w:pPr>
        <w:spacing w:after="0" w:line="108" w:lineRule="exact"/>
        <w:rPr>
          <w:rFonts w:ascii="Times New Roman" w:cs="Times New Roman" w:eastAsia="Times New Roman" w:hAnsi="Times New Roman"/>
          <w:sz w:val="14"/>
          <w:szCs w:val="14"/>
          <w:color w:val="auto"/>
        </w:rPr>
      </w:pPr>
    </w:p>
    <w:p>
      <w:pPr>
        <w:ind w:left="440" w:right="1280" w:hanging="414"/>
        <w:spacing w:after="0" w:line="302"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option vest, subject to continued service, as follows: 25% of the shares vested on January 1, 2019 with the remainder vesting over the next three years in substantially equal monthly installments on the 24th day of each month thereafter.</w:t>
      </w:r>
    </w:p>
    <w:p>
      <w:pPr>
        <w:spacing w:after="0" w:line="134" w:lineRule="exact"/>
        <w:rPr>
          <w:rFonts w:ascii="Times New Roman" w:cs="Times New Roman" w:eastAsia="Times New Roman" w:hAnsi="Times New Roman"/>
          <w:sz w:val="14"/>
          <w:szCs w:val="14"/>
          <w:color w:val="auto"/>
        </w:rPr>
      </w:pPr>
    </w:p>
    <w:p>
      <w:pPr>
        <w:ind w:left="440" w:hanging="414"/>
        <w:spacing w:after="0"/>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award was granted pursuant to the Company’s Amended and Restated 2017 Equity Incentive Plan (the “2017 Plan”).</w:t>
      </w:r>
    </w:p>
    <w:p>
      <w:pPr>
        <w:spacing w:after="0" w:line="176" w:lineRule="exact"/>
        <w:rPr>
          <w:rFonts w:ascii="Times New Roman" w:cs="Times New Roman" w:eastAsia="Times New Roman" w:hAnsi="Times New Roman"/>
          <w:sz w:val="14"/>
          <w:szCs w:val="14"/>
          <w:color w:val="auto"/>
        </w:rPr>
      </w:pPr>
    </w:p>
    <w:p>
      <w:pPr>
        <w:ind w:left="440" w:right="1240" w:hanging="414"/>
        <w:spacing w:after="0" w:line="322"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on June 17, 2020, with the remainder vesting in equal installments of 2.0833% of the shares subject to the option on the last day of each month thereafter for a period of 36 months, subject to continued service through each such date.</w:t>
      </w:r>
    </w:p>
    <w:p>
      <w:pPr>
        <w:spacing w:after="0" w:line="121" w:lineRule="exact"/>
        <w:rPr>
          <w:rFonts w:ascii="Times New Roman" w:cs="Times New Roman" w:eastAsia="Times New Roman" w:hAnsi="Times New Roman"/>
          <w:sz w:val="14"/>
          <w:szCs w:val="14"/>
          <w:color w:val="auto"/>
        </w:rPr>
      </w:pPr>
    </w:p>
    <w:p>
      <w:pPr>
        <w:ind w:left="440" w:right="1040" w:hanging="414"/>
        <w:spacing w:after="0" w:line="292"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units, with each restricted stock unit representing the contingent right to receive one share of common stock on the applicable vesting date. No amount was paid upon grant of the restricted stock units. The restricted stock units vest, subject to continued service, in two equal annual installments on May 31, 2022 and 2023.</w:t>
      </w:r>
    </w:p>
    <w:p>
      <w:pPr>
        <w:spacing w:after="0" w:line="127" w:lineRule="exact"/>
        <w:rPr>
          <w:rFonts w:ascii="Times New Roman" w:cs="Times New Roman" w:eastAsia="Times New Roman" w:hAnsi="Times New Roman"/>
          <w:sz w:val="14"/>
          <w:szCs w:val="14"/>
          <w:color w:val="auto"/>
        </w:rPr>
      </w:pPr>
    </w:p>
    <w:p>
      <w:pPr>
        <w:ind w:left="440" w:right="1040" w:hanging="414"/>
        <w:spacing w:after="0" w:line="292"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units, with each restricted stock unit representing the contingent right to receive one share of common stock on the applicable vesting date. No amount was paid upon grant of the restricted stock units. The restricted stock units vest, subject to continued service, in two equal annual installments on June 30, 2022 and 2023.</w:t>
      </w:r>
    </w:p>
    <w:p>
      <w:pPr>
        <w:spacing w:after="0" w:line="127" w:lineRule="exact"/>
        <w:rPr>
          <w:rFonts w:ascii="Times New Roman" w:cs="Times New Roman" w:eastAsia="Times New Roman" w:hAnsi="Times New Roman"/>
          <w:sz w:val="14"/>
          <w:szCs w:val="14"/>
          <w:color w:val="auto"/>
        </w:rPr>
      </w:pPr>
    </w:p>
    <w:p>
      <w:pPr>
        <w:ind w:left="440" w:right="1220" w:hanging="414"/>
        <w:spacing w:after="0" w:line="302" w:lineRule="auto"/>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option vest, subject to continued service, as follows: 25% of the shares vest on September 5, 2019, with the remainder vesting over the next three years in substantially equal monthly installments on 5th day of each month thereafter.</w:t>
      </w:r>
    </w:p>
    <w:p>
      <w:pPr>
        <w:spacing w:after="0" w:line="121" w:lineRule="exact"/>
        <w:rPr>
          <w:rFonts w:ascii="Times New Roman" w:cs="Times New Roman" w:eastAsia="Times New Roman" w:hAnsi="Times New Roman"/>
          <w:sz w:val="14"/>
          <w:szCs w:val="14"/>
          <w:color w:val="auto"/>
        </w:rPr>
      </w:pPr>
    </w:p>
    <w:p>
      <w:pPr>
        <w:ind w:left="440" w:hanging="414"/>
        <w:spacing w:after="0"/>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award was granted under the Company’s 2019 Inducement Equity Incentive Plan (the “Inducement Plan”).</w:t>
      </w:r>
    </w:p>
    <w:p>
      <w:pPr>
        <w:sectPr>
          <w:pgSz w:w="11900" w:h="16838" w:orient="portrait"/>
          <w:cols w:equalWidth="0" w:num="1">
            <w:col w:w="11240"/>
          </w:cols>
          <w:pgMar w:left="320" w:top="1170" w:right="339" w:bottom="1440" w:gutter="0" w:footer="0" w:header="0"/>
          <w:type w:val="continuous"/>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70" w:right="339" w:bottom="1440" w:gutter="0" w:footer="0" w:header="0"/>
          <w:type w:val="continuous"/>
        </w:sectPr>
      </w:pPr>
    </w:p>
    <w:bookmarkStart w:id="27" w:name="page28"/>
    <w:bookmarkEnd w:id="27"/>
    <w:p>
      <w:pPr>
        <w:ind w:left="480" w:right="1060" w:hanging="454"/>
        <w:spacing w:after="0" w:line="302"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option vest, subject to continued service, as follows: 25% of the shares subject to the option vested on November 4, 2020, with the remainder vesting in equal installments of 2.083% of the shares subject to the option on the last day of each month thereafter for a period of 36 months.</w:t>
      </w:r>
    </w:p>
    <w:p>
      <w:pPr>
        <w:spacing w:after="0" w:line="134" w:lineRule="exact"/>
        <w:rPr>
          <w:rFonts w:ascii="Times New Roman" w:cs="Times New Roman" w:eastAsia="Times New Roman" w:hAnsi="Times New Roman"/>
          <w:sz w:val="14"/>
          <w:szCs w:val="14"/>
          <w:color w:val="auto"/>
        </w:rPr>
      </w:pPr>
    </w:p>
    <w:p>
      <w:pPr>
        <w:ind w:left="480" w:right="980" w:hanging="454"/>
        <w:spacing w:after="0" w:line="302"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PRSUs for which the performance criteria has been achieved, as certified by the Compensation Committee of the Board, and which vest in substantially equal installments, subject to continued service, on June 15, 2022, June 23, 2022, August 14, 2022, August 17, 2022, June 15, 2023, and June 23, 2023.</w:t>
      </w:r>
    </w:p>
    <w:p>
      <w:pPr>
        <w:spacing w:after="0" w:line="134" w:lineRule="exact"/>
        <w:rPr>
          <w:rFonts w:ascii="Times New Roman" w:cs="Times New Roman" w:eastAsia="Times New Roman" w:hAnsi="Times New Roman"/>
          <w:sz w:val="14"/>
          <w:szCs w:val="14"/>
          <w:color w:val="auto"/>
        </w:rPr>
      </w:pPr>
    </w:p>
    <w:p>
      <w:pPr>
        <w:ind w:left="480" w:right="980" w:hanging="454"/>
        <w:spacing w:after="0" w:line="281"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units, with each restricted stock unit representing the contingent right to receive one share of common stock on the applicable vesting date. No amount was paid upon grant of the restricted stock units. The restricted stock units vest, subject to continued service, in three substantially equal annual installments on February 11, 2022, February 11, 2023 and February 11,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ARRATIVE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terms of the elements of our executive compensation program are described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3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Each Named Executive Officer’s base salary is a fixed component of annual compensation for performing specific duties and functions, and has been established by our Board taking into account each individual’s role, responsibilities, skills, and experience. In February 2021, the Compensation Committee increased Dr. Ragan’s base salary for 2021 to $562,126 and increased Mr. Mostafa’s base salary for 2021 to $430,193. Mr. Meisner’s base salary was increased to $438,900 effective in July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31"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color w:val="auto"/>
        </w:rPr>
        <w:t>Pursuant to his employment agreement, Mr. Meisner was eligible to receive a “Start Bonus” in connection with the commencement of his employment equal to $135,000, $67,500 of which was payable in 2019 and $67,500 of which was payable in March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31"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8"/>
          <w:szCs w:val="18"/>
          <w:color w:val="auto"/>
        </w:rPr>
        <w:t>Our annual bonus program is intended to reward our Named Executive Officers for meeting objective or subjective individual and/or company-wide performance goals for a fiscal year. For 2021 and 2020, our Named Executive Officers received incentive compensation based upon the Board or Compensation Committee’s determination of their respective achievement of and performance with respect to corporate objectives. Dr. Ragan’s, Mr. Mostafa’s, and Mr. Meisner’s bonus targets were 50%, 40% and 40%, respectively, of their respective annual base salaries.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2022, the Compensation Committee completed an evaluation of our overall performance for 2021 and the Named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contributions in achieving this performance. The Compensation Committee’s review was based on company performance against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objectives, including advancing research and clinical development of mavorixafor, expanding the pipeline of other assets, advancing CXCR4 molecules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assets to further expand our pipeline, maintaining business sustainability, building organizational strength, and preparing the commercialization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medicines for commercial use. Following such review, the Compensation Committee determined that the corporate performance objective were achieved</w:t>
      </w:r>
    </w:p>
    <w:p>
      <w:pPr>
        <w:spacing w:after="0" w:line="21"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at the 105% level. The Compensation Committee also determined that</w:t>
      </w:r>
      <w:r>
        <w:rPr>
          <w:sz w:val="20"/>
          <w:szCs w:val="20"/>
          <w:color w:val="auto"/>
        </w:rPr>
        <w:tab/>
      </w:r>
      <w:r>
        <w:rPr>
          <w:rFonts w:ascii="Times New Roman" w:cs="Times New Roman" w:eastAsia="Times New Roman" w:hAnsi="Times New Roman"/>
          <w:sz w:val="17"/>
          <w:szCs w:val="17"/>
          <w:color w:val="auto"/>
        </w:rPr>
        <w:t>Dr. Ragan had earned 110% of her target bonus for 2021, equal to a bonus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$309,330; Mr. Mostafa had earned 105% of his target bonus for 2021, equal to a bonus of $185,220; and Mr. Meisner had earned 105% of his target bonus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2021, equal to a bonus of $184,338.</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3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Our equity grant program is intended to align the interests of our Named Executive Officers with those of our stockholders and to motivate them to make important contributions to our performance.</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April 2020, the Compensation Committee granted PRSUs to our Named Executive Officers, see the section captioned “Outstanding Equity Awards at Fiscal Year-End.” The PRSUs are divided into four equal tranches, with each tranche having its own separate corporate-based performance goal and service-based vesting conditions. The initial service-based vesting condition for each tranche requires continued service through the date the applicable corporate-based performance goal is certified as achieved by our Compensation Committee, and the remaining service-based vesting conditions require continued services through the first and second anniversaries of the date the applicable corporate-based performance goal is achieved. As of December 31, 2021, all of the four corporate-based performance goals have been achieved. In addition, 100% of the unvested portion of the PRSUs will vest upon the termination of the Named Executive Officer’s employment by the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670" w:right="359" w:bottom="1440" w:gutter="0" w:footer="0" w:header="0"/>
        </w:sectPr>
      </w:pPr>
    </w:p>
    <w:bookmarkStart w:id="28" w:name="page29"/>
    <w:bookmarkEnd w:id="28"/>
    <w:p>
      <w:pPr>
        <w:ind w:right="440"/>
        <w:spacing w:after="0" w:line="297" w:lineRule="auto"/>
        <w:rPr>
          <w:sz w:val="20"/>
          <w:szCs w:val="20"/>
          <w:color w:val="auto"/>
        </w:rPr>
      </w:pPr>
      <w:r>
        <w:rPr>
          <w:rFonts w:ascii="Times New Roman" w:cs="Times New Roman" w:eastAsia="Times New Roman" w:hAnsi="Times New Roman"/>
          <w:sz w:val="18"/>
          <w:szCs w:val="18"/>
          <w:color w:val="auto"/>
        </w:rPr>
        <w:t>Company without “cause” (as defined in the 2017 Plan) upon or at any time within 12 months following a “change of control” (as defined in the 2017 Plan), subject to the terms of each individual’s respective employment agreement.</w:t>
      </w:r>
    </w:p>
    <w:p>
      <w:pPr>
        <w:spacing w:after="0" w:line="19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 March 2021, the Compensation Committee granted restricted stock unit awards to our Named Executive Officers, see the section captioned “Outstanding Equity Awards at Fiscal Year-End.” The restricted stock unit awards vest in three substantially equal annual installments on February 11, 2022, February 11, 2023 and February 11, 2024, subject to the Named Executive Officer’s continued service through each vesting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Change in Control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Paula Ragan, Ph.D.</w:t>
      </w:r>
    </w:p>
    <w:p>
      <w:pPr>
        <w:spacing w:after="0" w:line="11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On March 13, 2019, we entered into an amended and restated executive employment agreement with Dr. Ragan, which was amended and restated again in February 2020, pursuant to which Dr. Ragan agreed to continue serving as our Chief Executive Officer. Pursuant to the employment agreement,</w:t>
      </w:r>
    </w:p>
    <w:p>
      <w:pPr>
        <w:spacing w:after="0" w:line="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Dr. Ragan’s compensation consists of base salary at an annual rate approved by our Board or an appropriate committee thereof, an annual performance bonus as determined by our Board (provided that the target for such bonus shall be not less than 25% of Dr. Ragan’s annual base salary), fringe benefits, vacation, reimbursement of ordinary and reasonable out-of-pocket expenses and coverage under our Directors’ and Officers’, or D&amp;O, insurance policies, subject to the terms and conditions of such policies. Dr. Ragan’s 2021 base salary was $562,126, with an annual target bonus set at 50% of her annual base salary, subject to review and adjustment each year by the Board and in February 2022, Dr. Ragan’s 2022 annual base salary was set at $587,728.</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her employment agreement, if Dr. Ragan’s employment is terminated for any reason, Dr. Ragan will be entitled to receive her accrued but unpaid salary, accrued but unused vacation days, and the amount of any properly incurred expenses prior to termination not yet reimbursed and other benefits. In addition to the foregoing, if Dr. Ragan’s employment is terminated by us without cause or if Dr. Ragan resigns for good reason, each term as defined in the agreement, Dr. Ragan will be entitled to the following: (a) a continuation of base salary for 12 months, (b) a pro-rated portion of her at-target annual bonus for the calendar year in which the termination occurs, (c) so long as Dr. Ragan is eligible for coverage under our health insurance plan, elects coverage, was covered prior to termination, and elects to exercise her rights under COBRA to continue participation in such plan, we will pay the normal share of costs we pay for current employees under such plan until the earlier of 12 months from the date of Dr. Ragan’s termination, or the date Dr. Ragan is eligible to receive health benefits through another employer, and (d) Dr. Ragan will become vested in the additional number of outstanding time-based equity awards granted to Dr. Ragan by us that would have otherwise vested had Dr. Ragan remained employed for an additional 12 months after her termination date. In lieu of the foregoing, if Dr. Ragan’s employment is terminated without cause or if Dr. Ragan resigns for good reason within</w:t>
      </w:r>
    </w:p>
    <w:p>
      <w:pPr>
        <w:spacing w:after="0" w:line="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one-year period following a change of control, as that term is defined in the employment agreement, Dr. Ragan will be entitled to the following, in addition to her accrued but unpaid benefits: (a) a continuation of base salary for 18 months, (b) her full annual bonus for the calendar year in which the termination occurs, (c) so long as Dr. Ragan is eligible for coverage under our health insurance plan, elects coverage, was covered prior to termination, and elects to exercise her rights under COBRA to continue participation in such plan, we will pay the normal share of costs we pay for current employees under such plan until the earlier of 12 months from the date of Dr. Ragan’s termination, or the date Dr. Ragan is eligible to receive health benefits through another employer, and (d) automatic vesting in all outstanding time-based equity awards granted to Dr. Ragan by us, subject to the terms and conditions of the applicable award agreements. As a condition to receiving the foregoing severance benefits, Dr. Ragan must execute and not revoke a separation agreement in a form acceptable to us and which will include a complete release of claims and terms related to non-disparagement, non-competition, confidentiality and cooperation.</w:t>
      </w:r>
    </w:p>
    <w:p>
      <w:pPr>
        <w:spacing w:after="0" w:line="224" w:lineRule="exact"/>
        <w:rPr>
          <w:sz w:val="20"/>
          <w:szCs w:val="20"/>
          <w:color w:val="auto"/>
        </w:rPr>
      </w:pPr>
    </w:p>
    <w:p>
      <w:pPr>
        <w:ind w:right="840"/>
        <w:spacing w:after="0" w:line="297" w:lineRule="auto"/>
        <w:rPr>
          <w:sz w:val="20"/>
          <w:szCs w:val="20"/>
          <w:color w:val="auto"/>
        </w:rPr>
      </w:pPr>
      <w:r>
        <w:rPr>
          <w:rFonts w:ascii="Times New Roman" w:cs="Times New Roman" w:eastAsia="Times New Roman" w:hAnsi="Times New Roman"/>
          <w:sz w:val="18"/>
          <w:szCs w:val="18"/>
          <w:color w:val="auto"/>
        </w:rPr>
        <w:t>Dr. Ragan’s employment agreement also contains her agreement to continue to abide by the terms of her non-competition, non-solicitation, non-disclosure and intellectual property agreement.</w:t>
      </w:r>
    </w:p>
    <w:p>
      <w:pPr>
        <w:spacing w:after="0" w:line="190"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7"/>
          <w:szCs w:val="17"/>
          <w:color w:val="auto"/>
        </w:rPr>
        <w:t>In addition, Dr. Ragan’s employment agreement provides that in the event the severance and other benefits provided for or otherwise payable to Dr. Ragan constitute “parachute payments” within the meaning of Section 280G of the Internal Revenue Code of 1986, as amended (the “Code”) and are subject to the excise tax imposed by Section 4999 of the Code, we will pay either (i) Dr. Ragan’s severance benefits under the employment agreement in full or (ii) only a part of Dr. Ragan’s severance benefits under the employment agreement such that Dr. Ragan receives the largest payment possible without the imposition of the excise tax, in each case, depending upon which alternative would result in Dr. Ragan receiving the greater net after-tax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6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Adam S. Mostafa</w:t>
      </w:r>
    </w:p>
    <w:p>
      <w:pPr>
        <w:spacing w:after="0" w:line="26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On March 13, 2019, we entered into an amended and restated executive employment agreement with Mr. Mostafa, which was amended and restated again in March 2022, pursuant to which Mr. Mostafa agreed to continue serving as our Chief Financial Officer. Pursuant to the employment agreement,</w:t>
      </w:r>
    </w:p>
    <w:p>
      <w:pPr>
        <w:spacing w:after="0" w:line="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Mr. Mostafa’s compensation consists of base salary at an annual rate approved by our Board or an appropriate committee thereof, an annual performance bonus as determined by our Board (provided that the target for such bonus shall not be less than 25% of Mr. Mostafa’s annual base salary), fringe benefits, vacation, reimbursement of ordinary and reasonable out-of-pocket expenses and coverage under our D&amp;O insurance policies, subject to the terms and conditions of such policies. Mr. Mostafa’s base salary in 2021 was $430,193, with an annual target bonus set at 40% of his annual base salary, subject to review and adjustment each year by the Board and in February 2022, Mr. Mostafa’s 2022 annual base salary was set at $460,846.</w:t>
      </w:r>
    </w:p>
    <w:p>
      <w:pPr>
        <w:spacing w:after="0" w:line="2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Pursuant to his employment agreement, if Mr. Mostafa’s employment is terminated for any reason, Mr. Mostafa is entitled to receive his accrued but unpaid salary, accrued but unused vacation days, the amount of any properly incurred expenses prior to termination not yet reimbursed and other benefits. In addition to the foregoing, if Mr. Mostafa’s employment is terminated by us without cause or if Mr. Mostafa resigns for good reason, each term as defined in the agreement, Mr. Mostafa will be entitled to the following: (a) a continuation of base salary for 12 months, (b) a pro-rated portion of Mr. Mostafa’s at-target annual bonus for the calendar year in which the termination occurs based on the period worked by Mr. Mostafa during such calendar year prior to termination, (c) so long as Mr. Mostafa is eligible for coverage under our health insurance plan, elects coverage, was covered prior to termination, and elects to exercise his rights under COBRA to continue participation in such plan, we will pay the normal share of costs we pay for current employees under such plan until the earlier of six months from the date of Mr. Mostafa’s termination or the date Mr. Mostafa is eligible to receive health benefits through another employer, and (d) Mr. Mostafa will become vested in the additional number of outstanding time-based equity awards granted to Mr. Mostafa by us that would have otherwise vested had Mr. Mostafa remained employed for an additional six months after his termination date. In lieu of the foregoing, if Mr. Mostafa’s employment is terminated without cause or if Mr. Mostafa resigns for good reason within the one-year period following a change of control, as that term is defined in the agreement, Mr. Mostafa will be entitled to the following, in addition to his accrued but unpaid benefits : (a) a continuation of base salary for 12 months, (b) Mr. Mostafa’s full annual bonus for the calendar year in which the termination occurs, (c) so long as Mr. Mostafa is eligible for coverage under our health insurance plan, elects coverage, was covered prior to termination, and elects to exercise his rights under COBRA to continue participation in such plan, we will pay the normal share of costs we pay for current employees under such plan until the earlier of six months from the date of Mr. Mostafa’s termination or the date Mr. Mostafa is eligible to receive health benefits through another employer, and (d) automatic vesting in all outstanding time-based equity awards granted to Mr. Mostafa by us, subject to the terms and conditions of the agreement. As a condition to receiving the foregoing severance benefits, Mr. Mostafa must execute and not revoke a separation agreement in a form acceptable to us and which will include a complete release of claims and terms related to non-disparagement, non-competition, confidentiality and cooperation.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Mostafa agreed to continue to abide by the terms of his non-competition, non-solicitation, non-disclosure and intellectual property agreement.</w:t>
      </w:r>
    </w:p>
    <w:p>
      <w:pPr>
        <w:spacing w:after="0" w:line="2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addition, Mr. Mostafa’s employment agreement provides that in the event the severance and other benefits provided for or otherwise payable to Mr. Mostafa constitute “parachute payments” within the meaning of Section 280G of the Code and are subject to the excise tax imposed by Section 4999 of the Code, we will pay either (i) Mr. Mostafa’s severance benefits under the employment agreement in full or (ii) only a part of Mr. Mostafa’s severance benefits under the employment agreement such that Mr. Mostafa receives the largest payment possible without the imposition of the excise tax, in each case, depending upon which alternative would result in Mr. Mostafa receiving the greater net after-tax payment.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Derek Meisner</w:t>
      </w:r>
    </w:p>
    <w:p>
      <w:pPr>
        <w:spacing w:after="0" w:line="25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Pursuant to his executive employment agreement, as amended in February 2020 and amended and restated again in March 2022, Mr. Meisner’s annual base salary for 2021 was $418,000, which increased to $438,900 effective July 2021, and he is eligible for an annual incentive payment equal to 40% of his base salary. In February 2022, Mr. Meisner’s 2022 annual base salary was set at $458,651.</w:t>
      </w:r>
    </w:p>
    <w:p>
      <w:pPr>
        <w:spacing w:after="0" w:line="20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If Mr. Meisner’s employment is terminated for any reason, Mr. Meisner is entitled to receive his accrued but unpaid salary, accrued but unused vacation days, the amount of any properly incurred expenses prior to termination not yet reimbursed and other benefits. In addition to the foregoing, if Mr. Meisner’s employment is terminated by us without cause or if Mr. Meisner resigns for good reason, each term as defined in the agreement, Mr. Meisner will be entitled to the following: (a) a</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605" w:right="339" w:bottom="1440" w:gutter="0" w:footer="0" w:header="0"/>
        </w:sectPr>
      </w:pPr>
    </w:p>
    <w:bookmarkStart w:id="30" w:name="page31"/>
    <w:bookmarkEnd w:id="30"/>
    <w:p>
      <w:pPr>
        <w:spacing w:after="0" w:line="279" w:lineRule="auto"/>
        <w:rPr>
          <w:sz w:val="20"/>
          <w:szCs w:val="20"/>
          <w:color w:val="auto"/>
        </w:rPr>
      </w:pPr>
      <w:r>
        <w:rPr>
          <w:rFonts w:ascii="Times New Roman" w:cs="Times New Roman" w:eastAsia="Times New Roman" w:hAnsi="Times New Roman"/>
          <w:sz w:val="17"/>
          <w:szCs w:val="17"/>
          <w:color w:val="auto"/>
        </w:rPr>
        <w:t>continuation of base salary for twelve months, (b) a pro-rated portion of Mr. Meisner’s at-target annual bonus for the calendar year in which the termination occurs based on the period worked by Mr. Meisner during such calendar year prior to termination, (c) so long as Mr. Meisner is eligible for coverage under our health insurance plan, elects coverage, was covered prior to termination, and elects to exercise his rights under COBRA to continue participation in such plan, we will pay the normal share of costs we pay for current employees under such plan until the earlier of six months from the date of</w:t>
      </w:r>
    </w:p>
    <w:p>
      <w:pPr>
        <w:ind w:right="100"/>
        <w:spacing w:after="0" w:line="262" w:lineRule="auto"/>
        <w:rPr>
          <w:sz w:val="20"/>
          <w:szCs w:val="20"/>
          <w:color w:val="auto"/>
        </w:rPr>
      </w:pPr>
      <w:r>
        <w:rPr>
          <w:rFonts w:ascii="Times New Roman" w:cs="Times New Roman" w:eastAsia="Times New Roman" w:hAnsi="Times New Roman"/>
          <w:sz w:val="18"/>
          <w:szCs w:val="18"/>
          <w:color w:val="auto"/>
        </w:rPr>
        <w:t>Mr. Meisner’s termination or the date Mr. Meisner is eligible to receive health benefits through another employer, and (d) Mr. Meisner will become vested in the additional number of outstanding time-based equity awards granted to Mr. Meisner by us that would have otherwise vested had Mr. Meisner remained employed for an additional six months after his termination date. In lieu of the foregoing, if Mr. Meisner’s employment is terminated without cause or if Mr. Meisner resigns for good reason within the one-year period following a change of control, as that term is defined in the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Meisner will be entitled to the following, in addition to his accrued but unpaid benefits: (a) a continuation of base salary for 12 months,</w:t>
      </w:r>
    </w:p>
    <w:p>
      <w:pPr>
        <w:spacing w:after="0" w:line="9" w:lineRule="exact"/>
        <w:rPr>
          <w:sz w:val="20"/>
          <w:szCs w:val="20"/>
          <w:color w:val="auto"/>
        </w:rPr>
      </w:pPr>
    </w:p>
    <w:p>
      <w:pPr>
        <w:ind w:right="80" w:firstLine="8"/>
        <w:spacing w:after="0" w:line="265"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Meisner’s full annual bonus for the calendar year in which the termination occurs, (c) so long as Mr. Meisner is eligible for coverage under our health insurance plan, elects coverage, was covered prior to termination, and elects to exercise his rights under COBRA to continue participation in such plan, we will pay the normal share of costs we pay for current employees under such plan until the earlier of six months from the date of Mr. Meisner’s termination or the date Mr. Meisner is eligible to receive health benefits through another employer, and (d) automatic vesting in all outstanding time-based equity awards granted to Mr. Meisner by us, subject to the terms and conditions of the agreement. As a condition to receiving the foregoing severance benefits, Mr. Meisner must execute and not revoke a separation agreement in a form acceptable to us and which will include a complete release of claims and terms related to non-disparagement, non-competition, confidentiality and cooperation.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captioned “Long-Term Equity Incentives” for vesting acceleration applicable to PRSUs held by our Named Executive Officers.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maintain a defined contribution retirement plan that provides eligible U.S. employees with an opportunity to save for retirement on a tax-advantaged basis. Eligible employees may defer eligible compensation on a pre-tax basis, up to the statutorily prescribed annual limits on contributions under the Code. Contributions are allocated to each participant’s individual account and are then invested in selected investment alternatives according to the participants’ directions. Employees are immediately and fully vested in their contributions.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and certain of our part-time employees are eligible to participate in our health and welfare benefit plans, including our medical, dental, life and long-term disability insurance plans. Our health and welfare benefit plans do not discriminate in scope, terms or operation in favor of our executive officers.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5500" w:type="dxa"/>
            <w:vAlign w:val="bottom"/>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 FOR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2021</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758"/>
        </w:trPr>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5"/>
        </w:trPr>
        <w:tc>
          <w:tcPr>
            <w:tcW w:w="2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400" w:type="dxa"/>
            <w:vAlign w:val="bottom"/>
          </w:tcPr>
          <w:p>
            <w:pPr>
              <w:spacing w:after="0"/>
              <w:rPr>
                <w:sz w:val="15"/>
                <w:szCs w:val="15"/>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400" w:type="dxa"/>
            <w:vAlign w:val="bottom"/>
          </w:tcPr>
          <w:p>
            <w:pPr>
              <w:spacing w:after="0"/>
              <w:rPr>
                <w:sz w:val="15"/>
                <w:szCs w:val="15"/>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440" w:type="dxa"/>
            <w:vAlign w:val="bottom"/>
          </w:tcPr>
          <w:p>
            <w:pPr>
              <w:spacing w:after="0"/>
              <w:rPr>
                <w:sz w:val="15"/>
                <w:szCs w:val="15"/>
                <w:color w:val="auto"/>
              </w:rPr>
            </w:pPr>
          </w:p>
        </w:tc>
        <w:tc>
          <w:tcPr>
            <w:tcW w:w="142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7"/>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8"/>
                <w:szCs w:val="18"/>
                <w:b w:val="1"/>
                <w:bCs w:val="1"/>
                <w:color w:val="auto"/>
                <w:vertAlign w:val="superscript"/>
              </w:rPr>
              <w:t>(1)</w:t>
            </w:r>
          </w:p>
        </w:tc>
        <w:tc>
          <w:tcPr>
            <w:tcW w:w="1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17"/>
              <w:spacing w:after="0" w:line="227"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9"/>
                <w:szCs w:val="9"/>
                <w:b w:val="1"/>
                <w:bCs w:val="1"/>
                <w:color w:val="auto"/>
                <w:w w:val="96"/>
              </w:rPr>
              <w:t>(2)(3)</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William E. Aliski, MPA</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90,233</w:t>
            </w:r>
          </w:p>
        </w:tc>
      </w:tr>
      <w:tr>
        <w:trPr>
          <w:trHeight w:val="28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Gary J. Bridger, Ph.D.</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79,233</w:t>
            </w:r>
          </w:p>
        </w:tc>
      </w:tr>
      <w:tr>
        <w:trPr>
          <w:trHeight w:val="33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Francoise de Craecker </w:t>
            </w:r>
            <w:r>
              <w:rPr>
                <w:rFonts w:ascii="Times New Roman" w:cs="Times New Roman" w:eastAsia="Times New Roman" w:hAnsi="Times New Roman"/>
                <w:sz w:val="23"/>
                <w:szCs w:val="23"/>
                <w:color w:val="auto"/>
                <w:vertAlign w:val="superscript"/>
              </w:rPr>
              <w:t>(4)</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16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57,685</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Alison Lawton</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53,586</w:t>
            </w:r>
          </w:p>
        </w:tc>
      </w:tr>
      <w:tr>
        <w:trPr>
          <w:trHeight w:val="28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David McGirr, M.B.A.</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96,233</w:t>
            </w:r>
          </w:p>
        </w:tc>
      </w:tr>
      <w:tr>
        <w:trPr>
          <w:trHeight w:val="33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René Russo., Pharm.D. </w:t>
            </w:r>
            <w:r>
              <w:rPr>
                <w:rFonts w:ascii="Times New Roman" w:cs="Times New Roman" w:eastAsia="Times New Roman" w:hAnsi="Times New Roman"/>
                <w:sz w:val="23"/>
                <w:szCs w:val="23"/>
                <w:color w:val="auto"/>
                <w:vertAlign w:val="superscript"/>
              </w:rPr>
              <w:t>(5)</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72,425</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Murray W. Stewart, M.D.</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89,108</w:t>
            </w:r>
          </w:p>
        </w:tc>
      </w:tr>
      <w:tr>
        <w:trPr>
          <w:trHeight w:val="28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Michael S. Wyzga</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86,500</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128,733</w:t>
            </w:r>
          </w:p>
        </w:tc>
      </w:tr>
      <w:tr>
        <w:trPr>
          <w:trHeight w:val="1012"/>
        </w:trPr>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220"/>
          </w:cols>
          <w:pgMar w:left="320" w:top="607" w:right="359" w:bottom="1440" w:gutter="0" w:footer="0" w:header="0"/>
        </w:sectPr>
      </w:pPr>
    </w:p>
    <w:bookmarkStart w:id="31" w:name="page32"/>
    <w:bookmarkEnd w:id="31"/>
    <w:p>
      <w:pPr>
        <w:ind w:left="440" w:right="1260" w:hanging="414"/>
        <w:spacing w:after="0" w:line="281" w:lineRule="auto"/>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Dr. Ragan, one of our directors who also serves as our Chief Executive Officer and President, did not receive any additional compensation for her service director. Dr. Ragan is a Named Executive Officer and, accordingly, the compensation that we pay to Dr. Ragan is described under “— Summary Compensation Table” and “—Narrative Disclosure to Summary Compensation Table.”</w:t>
      </w:r>
    </w:p>
    <w:p>
      <w:pPr>
        <w:spacing w:after="0" w:line="15" w:lineRule="exact"/>
        <w:rPr>
          <w:rFonts w:ascii="Times New Roman" w:cs="Times New Roman" w:eastAsia="Times New Roman" w:hAnsi="Times New Roman"/>
          <w:sz w:val="14"/>
          <w:szCs w:val="14"/>
          <w:color w:val="auto"/>
        </w:rPr>
      </w:pPr>
    </w:p>
    <w:p>
      <w:pPr>
        <w:ind w:left="440" w:right="960" w:hanging="414"/>
        <w:spacing w:after="0" w:line="275" w:lineRule="auto"/>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amounts reported in the “Option Awards” column reflect the aggregate grant date fair value of stock-based compensation awarded during the year computed in accordance with the provisions of ASC 718. See Note 12 to our consolidated financial statements appearing in our Annual Report on Form 10-K for the fiscal year ended December 31, 2021 filed with the SEC on March 17, 2022, regarding assumptions underlying the valuation of equity awards.</w:t>
      </w:r>
    </w:p>
    <w:p>
      <w:pPr>
        <w:spacing w:after="0" w:line="20" w:lineRule="exact"/>
        <w:rPr>
          <w:rFonts w:ascii="Times New Roman" w:cs="Times New Roman" w:eastAsia="Times New Roman" w:hAnsi="Times New Roman"/>
          <w:sz w:val="14"/>
          <w:szCs w:val="14"/>
          <w:color w:val="auto"/>
        </w:rPr>
      </w:pPr>
    </w:p>
    <w:p>
      <w:pPr>
        <w:ind w:left="440" w:right="1160" w:hanging="414"/>
        <w:spacing w:after="0" w:line="269" w:lineRule="auto"/>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aggregate number of shares subject to outstanding stock options held by each director listed in the table above as of December 31, 2021 was as follows: 16,281 shares for Mr. Aliski; 67,851 shares for Dr. Bridger; 12,250 for Ms. de Craecker; 12,854 for Ms. Lawton; 18,686 shares for</w:t>
      </w: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Mr. McGirr; 63,349 for Dr. Russo; 26,281 shares for Dr. Stewart; and 86,605 shares for Mr. Wyzga.</w:t>
      </w:r>
    </w:p>
    <w:p>
      <w:pPr>
        <w:spacing w:after="0" w:line="64" w:lineRule="exact"/>
        <w:rPr>
          <w:rFonts w:ascii="Times New Roman" w:cs="Times New Roman" w:eastAsia="Times New Roman" w:hAnsi="Times New Roman"/>
          <w:sz w:val="14"/>
          <w:szCs w:val="14"/>
          <w:color w:val="auto"/>
        </w:rPr>
      </w:pPr>
    </w:p>
    <w:p>
      <w:pPr>
        <w:ind w:left="440" w:hanging="414"/>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Ms. de Craecker joined our Board in October 2021.</w:t>
      </w:r>
    </w:p>
    <w:p>
      <w:pPr>
        <w:spacing w:after="0" w:line="72" w:lineRule="exact"/>
        <w:rPr>
          <w:rFonts w:ascii="Times New Roman" w:cs="Times New Roman" w:eastAsia="Times New Roman" w:hAnsi="Times New Roman"/>
          <w:sz w:val="14"/>
          <w:szCs w:val="14"/>
          <w:color w:val="auto"/>
        </w:rPr>
      </w:pPr>
    </w:p>
    <w:p>
      <w:pPr>
        <w:ind w:left="440" w:hanging="414"/>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Dr. Russo departed our Board in October 2021.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Compensation Policy</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historically granted to new non-employee directors, upon their initial election to the Board, an option to purchase 6,854 shares of our common stock at an exercise price equal to the closing price of our common stock on the date of grant. In February 2021, our Board, upon the recommendation of the Compensation Committee, approved an increase in this initial option grant to 12,250 shares of common stock. In March 2022, our Board, upon the recommendation of the Compensation Committee, approved that effective immediately, the initial grant to non-employee directors joining the Board shall be 13,333 shares of common stock to be granted in the form of restricted stock units, or RSUs. Each of these grants of such RSUs vest in two equal installments on the anniversary of the date of grant, subject to the non-employee director’s continued service as a director. This vesting accelerates as to 100% of the shares upon a change in control of the Company.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 on the dates of each of our annual meetings of stockholders, we have historically granted to each non-employee director that has served on our Board for at least six months an option to purchase 3,427 shares of our common stock at an exercise price equal to the closing price of our common stock on the date of the grant. In February 2021, our Board, upon the recommendation of the Compensation Committee, approved an increase in this annual option grant to 6,000 shares of common stock. In March 2022, our Board, upon the recommendation of the Compensation Committee, approved that effective immediately, the annual grant to non-employee directors shall be 6,667 shares of common stock to be granted in the form of RSUs. Each of these grants vests in two equal annual installments on the anniversary of the date of grant, subject to the non-employee director’s continued service as a director, with 100% acceleration of vesting upon a change in control of the Company.</w:t>
      </w: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pay our non-employee directors a cash retainer for service on the Board and for service on each committee on which the director was a member. The Chairman of the Board, the Lead Independent Director and the Chair of each committee received higher retainers for such service. These fees are payable in arrears in four equal quarterly installments on the last day of each quarter, provided that the amount of such payment would be prorated for any portion of such quarter that the director was not serving on the Board, on such committee or in such position. The fees paid to non-employee directors for service on the Board, for service as a Lead Independent Director and for service on each committee of the Board on which the director was a member were as follows.</w:t>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666" w:right="4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Annual Retainer</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 for</w:t>
            </w: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204"/>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for Chair</w:t>
            </w:r>
          </w:p>
        </w:tc>
      </w:tr>
      <w:tr>
        <w:trPr>
          <w:trHeight w:val="23"/>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21"/>
                <w:szCs w:val="21"/>
                <w:color w:val="auto"/>
              </w:rPr>
            </w:pPr>
          </w:p>
        </w:tc>
      </w:tr>
      <w:tr>
        <w:trPr>
          <w:trHeight w:val="40"/>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1"/>
                <w:szCs w:val="2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other expenses incurred in connection with attending meetings of the Board and any committee of the Board of Directors on which they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938" w:right="379" w:bottom="1440" w:gutter="0" w:footer="0" w:header="0"/>
        </w:sectPr>
      </w:pPr>
    </w:p>
    <w:bookmarkStart w:id="33" w:name="page34"/>
    <w:bookmarkEnd w:id="33"/>
    <w:p>
      <w:pPr>
        <w:ind w:left="19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2021:</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5"/>
                <w:szCs w:val="15"/>
                <w:color w:val="auto"/>
              </w:rPr>
            </w:pPr>
          </w:p>
        </w:tc>
      </w:tr>
      <w:tr>
        <w:trPr>
          <w:trHeight w:val="176"/>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160" w:type="dxa"/>
            <w:vAlign w:val="bottom"/>
          </w:tcPr>
          <w:p>
            <w:pPr>
              <w:spacing w:after="0"/>
              <w:rPr>
                <w:sz w:val="15"/>
                <w:szCs w:val="15"/>
                <w:color w:val="auto"/>
              </w:rPr>
            </w:pPr>
          </w:p>
        </w:tc>
      </w:tr>
      <w:tr>
        <w:trPr>
          <w:trHeight w:val="189"/>
        </w:trPr>
        <w:tc>
          <w:tcPr>
            <w:tcW w:w="4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issuance under</w:t>
            </w:r>
          </w:p>
        </w:tc>
        <w:tc>
          <w:tcPr>
            <w:tcW w:w="160" w:type="dxa"/>
            <w:vAlign w:val="bottom"/>
          </w:tcPr>
          <w:p>
            <w:pPr>
              <w:spacing w:after="0"/>
              <w:rPr>
                <w:sz w:val="16"/>
                <w:szCs w:val="16"/>
                <w:color w:val="auto"/>
              </w:rPr>
            </w:pPr>
          </w:p>
        </w:tc>
      </w:tr>
      <w:tr>
        <w:trPr>
          <w:trHeight w:val="176"/>
        </w:trPr>
        <w:tc>
          <w:tcPr>
            <w:tcW w:w="47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4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160" w:type="dxa"/>
            <w:vAlign w:val="bottom"/>
          </w:tcPr>
          <w:p>
            <w:pPr>
              <w:spacing w:after="0"/>
              <w:rPr>
                <w:sz w:val="15"/>
                <w:szCs w:val="15"/>
                <w:color w:val="auto"/>
              </w:rPr>
            </w:pPr>
          </w:p>
        </w:tc>
      </w:tr>
      <w:tr>
        <w:trPr>
          <w:trHeight w:val="176"/>
        </w:trPr>
        <w:tc>
          <w:tcPr>
            <w:tcW w:w="47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c>
          <w:tcPr>
            <w:tcW w:w="160" w:type="dxa"/>
            <w:vAlign w:val="bottom"/>
          </w:tcPr>
          <w:p>
            <w:pPr>
              <w:spacing w:after="0"/>
              <w:rPr>
                <w:sz w:val="15"/>
                <w:szCs w:val="15"/>
                <w:color w:val="auto"/>
              </w:rPr>
            </w:pPr>
          </w:p>
        </w:tc>
      </w:tr>
      <w:tr>
        <w:trPr>
          <w:trHeight w:val="189"/>
        </w:trPr>
        <w:tc>
          <w:tcPr>
            <w:tcW w:w="47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4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c>
          <w:tcPr>
            <w:tcW w:w="160" w:type="dxa"/>
            <w:vAlign w:val="bottom"/>
          </w:tcPr>
          <w:p>
            <w:pPr>
              <w:spacing w:after="0"/>
              <w:rPr>
                <w:sz w:val="16"/>
                <w:szCs w:val="16"/>
                <w:color w:val="auto"/>
              </w:rPr>
            </w:pPr>
          </w:p>
        </w:tc>
      </w:tr>
      <w:tr>
        <w:trPr>
          <w:trHeight w:val="176"/>
        </w:trPr>
        <w:tc>
          <w:tcPr>
            <w:tcW w:w="47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160" w:type="dxa"/>
            <w:vAlign w:val="bottom"/>
          </w:tcPr>
          <w:p>
            <w:pPr>
              <w:spacing w:after="0"/>
              <w:rPr>
                <w:sz w:val="15"/>
                <w:szCs w:val="15"/>
                <w:color w:val="auto"/>
              </w:rPr>
            </w:pPr>
          </w:p>
        </w:tc>
      </w:tr>
      <w:tr>
        <w:trPr>
          <w:trHeight w:val="204"/>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(b)</w:t>
            </w:r>
          </w:p>
        </w:tc>
        <w:tc>
          <w:tcPr>
            <w:tcW w:w="4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Pr>
          <w:p>
            <w:pPr>
              <w:spacing w:after="0"/>
              <w:rPr>
                <w:sz w:val="17"/>
                <w:szCs w:val="17"/>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472,593</w:t>
            </w: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w w:val="85"/>
              </w:rPr>
              <w:t>(1)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14.52</w:t>
            </w:r>
          </w:p>
        </w:tc>
        <w:tc>
          <w:tcPr>
            <w:tcW w:w="40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9"/>
              </w:rPr>
              <w:t>(2)</w:t>
            </w:r>
          </w:p>
        </w:tc>
        <w:tc>
          <w:tcPr>
            <w:tcW w:w="1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407,656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1,443,458</w:t>
            </w:r>
          </w:p>
        </w:tc>
        <w:tc>
          <w:tcPr>
            <w:tcW w:w="4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w w:val="85"/>
              </w:rPr>
              <w:t>(4)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8.53</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(5)</w:t>
            </w:r>
          </w:p>
        </w:tc>
        <w:tc>
          <w:tcPr>
            <w:tcW w:w="17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626,797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(6)</w:t>
            </w:r>
          </w:p>
        </w:tc>
      </w:tr>
      <w:tr>
        <w:trPr>
          <w:trHeight w:val="41"/>
        </w:trPr>
        <w:tc>
          <w:tcPr>
            <w:tcW w:w="47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9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1,916,051</w:t>
            </w:r>
          </w:p>
        </w:tc>
        <w:tc>
          <w:tcPr>
            <w:tcW w:w="4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10.01</w:t>
            </w:r>
          </w:p>
        </w:tc>
        <w:tc>
          <w:tcPr>
            <w:tcW w:w="4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1,034,453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64" w:lineRule="exact"/>
        <w:rPr>
          <w:sz w:val="20"/>
          <w:szCs w:val="20"/>
          <w:color w:val="auto"/>
        </w:rPr>
      </w:pPr>
    </w:p>
    <w:p>
      <w:pPr>
        <w:ind w:left="940" w:right="60" w:hanging="914"/>
        <w:spacing w:after="0" w:line="298"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(i) 56,783 shares to be issued upon exercise of outstanding options under the 2011 Plan, as of December 31, 2021, and (ii) 415,810 shares to be issued upon exercise of outstanding options under the 2017 Plan, as of December 31, 2021.</w:t>
      </w:r>
    </w:p>
    <w:p>
      <w:pPr>
        <w:spacing w:after="0" w:line="2" w:lineRule="exact"/>
        <w:rPr>
          <w:rFonts w:ascii="Times New Roman" w:cs="Times New Roman" w:eastAsia="Times New Roman" w:hAnsi="Times New Roman"/>
          <w:sz w:val="14"/>
          <w:szCs w:val="14"/>
          <w:color w:val="auto"/>
        </w:rPr>
      </w:pPr>
    </w:p>
    <w:p>
      <w:pPr>
        <w:ind w:left="940" w:hanging="914"/>
        <w:spacing w:after="0"/>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the weighted-average exercise price of the 472,593 stock options outstanding on December 31, 2021.</w:t>
      </w:r>
    </w:p>
    <w:p>
      <w:pPr>
        <w:spacing w:after="0" w:line="72" w:lineRule="exact"/>
        <w:rPr>
          <w:rFonts w:ascii="Times New Roman" w:cs="Times New Roman" w:eastAsia="Times New Roman" w:hAnsi="Times New Roman"/>
          <w:sz w:val="14"/>
          <w:szCs w:val="14"/>
          <w:color w:val="auto"/>
        </w:rPr>
      </w:pPr>
    </w:p>
    <w:p>
      <w:pPr>
        <w:ind w:left="940" w:right="380" w:hanging="914"/>
        <w:spacing w:after="0" w:line="281"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(i) 138,591 shares that remained available for future issuance under the 2017 Plan as of December 31, 2021 and (ii) 269,065 shares that remained available for future issuance under our 2017 Employee Stock Purchase Plan (the “2017 ESPP”), as of December 31, 2021. No shares remained available for future issuance under the 2010 Plan or the 2011 Plan, as of December 31, 2021.</w:t>
      </w:r>
    </w:p>
    <w:p>
      <w:pPr>
        <w:spacing w:after="0" w:line="15" w:lineRule="exact"/>
        <w:rPr>
          <w:rFonts w:ascii="Times New Roman" w:cs="Times New Roman" w:eastAsia="Times New Roman" w:hAnsi="Times New Roman"/>
          <w:sz w:val="14"/>
          <w:szCs w:val="14"/>
          <w:color w:val="auto"/>
        </w:rPr>
      </w:pPr>
    </w:p>
    <w:p>
      <w:pPr>
        <w:ind w:left="940" w:right="20" w:hanging="914"/>
        <w:spacing w:after="0" w:line="275"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(i) 657,608 shares to be issued upon exercise of outstanding options under the 2015 Plan, as of December 31, 2021 and (ii) 785,850 shares to be issued upon exercise of outstanding options under our 2019 Inducement Equity Incentive Plan, as of December 31, 2021 (the “Inducement Plan”). Descriptions of the 2015 Plan and the Inducement Plan are contained in Note 12 of the notes to our consolidated financial statements contained in our Annual Report on Form 10-K for the year ended December 31, 2021, filed with the SEC on March 17, 2022.</w:t>
      </w:r>
    </w:p>
    <w:p>
      <w:pPr>
        <w:spacing w:after="0" w:line="20" w:lineRule="exact"/>
        <w:rPr>
          <w:rFonts w:ascii="Times New Roman" w:cs="Times New Roman" w:eastAsia="Times New Roman" w:hAnsi="Times New Roman"/>
          <w:sz w:val="14"/>
          <w:szCs w:val="14"/>
          <w:color w:val="auto"/>
        </w:rPr>
      </w:pPr>
    </w:p>
    <w:p>
      <w:pPr>
        <w:ind w:left="940" w:hanging="914"/>
        <w:spacing w:after="0"/>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the weighted-average exercise price of the 1,443,458 stock options outstanding on December 31, 2021.</w:t>
      </w:r>
    </w:p>
    <w:p>
      <w:pPr>
        <w:spacing w:after="0" w:line="72" w:lineRule="exact"/>
        <w:rPr>
          <w:rFonts w:ascii="Times New Roman" w:cs="Times New Roman" w:eastAsia="Times New Roman" w:hAnsi="Times New Roman"/>
          <w:sz w:val="14"/>
          <w:szCs w:val="14"/>
          <w:color w:val="auto"/>
        </w:rPr>
      </w:pPr>
    </w:p>
    <w:p>
      <w:pPr>
        <w:ind w:left="940" w:right="300" w:hanging="914"/>
        <w:spacing w:after="0" w:line="298"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(i) 143,647 shares that remained available for future issuance under the 2015 Plan, as of December 31, 2021, and (ii) 483,150 shares that remained available for future issuance under the Inducement Plan, as of December 31, 2021.</w:t>
      </w:r>
    </w:p>
    <w:p>
      <w:pPr>
        <w:spacing w:after="0" w:line="2" w:lineRule="exact"/>
        <w:rPr>
          <w:rFonts w:ascii="Times New Roman" w:cs="Times New Roman" w:eastAsia="Times New Roman" w:hAnsi="Times New Roman"/>
          <w:sz w:val="14"/>
          <w:szCs w:val="14"/>
          <w:color w:val="auto"/>
        </w:rPr>
      </w:pPr>
    </w:p>
    <w:p>
      <w:pPr>
        <w:ind w:left="940" w:right="60" w:hanging="914"/>
        <w:spacing w:after="0" w:line="269"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2017 Plan has an evergreen provision, as amended, that allows for an annual increase in the number of shares available for issuance under the 2017 Plan to be added on the first day of each fiscal year, beginning with the fiscal year ended December 31, 2018 and continuing for each fiscal year until, and including, the fiscal year ending December 31, 2027. The evergreen provides for an automatic increase in the number of shares available for issuance equal to the least of (i) 4% of the number of outstanding such date and (ii) an amount determined by our Board. The 2017 ESPP has an evergreen provision that allows for an annual increase in the number of shares available for issuance under the 2017 ESPP to be added on the first day of each fiscal year, beginning on January 1, 2019 and ending on December 31, 2029, in an amount equal to the least of (i) 85,457 shares of our common stock, (ii) 2% of the total number of outstanding shares as of such date and (iii) an amount determined by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60"/>
          </w:cols>
          <w:pgMar w:left="320" w:top="603" w:right="719" w:bottom="1440" w:gutter="0" w:footer="0" w:header="0"/>
        </w:sectPr>
      </w:pPr>
    </w:p>
    <w:bookmarkStart w:id="34" w:name="page35"/>
    <w:bookmarkEnd w:id="34"/>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to set forth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party transaction,” the related person must report the proposed related person transaction to our Chief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related person transaction reviewed under this policy will be considered approved or ratified if it is authorized by the Audit Committee in accordance with the standards set forth in the policy after full disclosure of the related person’s interests in the transaction. As appropriate for the circumstances, the policy provides that the Audit Committee will review and consider:</w:t>
      </w:r>
    </w:p>
    <w:p>
      <w:pPr>
        <w:spacing w:after="0" w:line="270" w:lineRule="exact"/>
        <w:rPr>
          <w:sz w:val="20"/>
          <w:szCs w:val="20"/>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333"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319" w:lineRule="exact"/>
        <w:rPr>
          <w:rFonts w:ascii="Times New Roman" w:cs="Times New Roman" w:eastAsia="Times New Roman" w:hAnsi="Times New Roman"/>
          <w:sz w:val="18"/>
          <w:szCs w:val="18"/>
          <w:color w:val="auto"/>
        </w:rPr>
      </w:pPr>
    </w:p>
    <w:p>
      <w:pPr>
        <w:ind w:left="980" w:right="1300" w:hanging="441"/>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256"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319" w:lineRule="exact"/>
        <w:rPr>
          <w:rFonts w:ascii="Times New Roman" w:cs="Times New Roman" w:eastAsia="Times New Roman" w:hAnsi="Times New Roman"/>
          <w:sz w:val="18"/>
          <w:szCs w:val="18"/>
          <w:color w:val="auto"/>
        </w:rPr>
      </w:pPr>
    </w:p>
    <w:p>
      <w:pPr>
        <w:ind w:left="980" w:right="1240" w:hanging="441"/>
        <w:spacing w:after="0" w:line="297"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the terms that could have been reached with an unrelated third party;</w:t>
      </w:r>
    </w:p>
    <w:p>
      <w:pPr>
        <w:spacing w:after="0" w:line="243"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319" w:lineRule="exact"/>
        <w:rPr>
          <w:rFonts w:ascii="Times New Roman" w:cs="Times New Roman" w:eastAsia="Times New Roman" w:hAnsi="Times New Roman"/>
          <w:sz w:val="18"/>
          <w:szCs w:val="18"/>
          <w:color w:val="auto"/>
        </w:rPr>
      </w:pPr>
    </w:p>
    <w:p>
      <w:pPr>
        <w:ind w:left="980" w:right="1240" w:hanging="441"/>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Audit Committee may approve or ratify the related person transaction only if the Audit Committee determines that, under all of the circumstances, the transaction is in our best interests. The Audit Committee may impose any conditions on the related person transaction as it deems appropriate. The policy also provides that transactions involving compensation of executive officers will be reviewed and approved by our Compensation Committee in the manner specified in its charter.</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purposes of the policy, we refer to certain related-party transactions below in which (a) we were a participant, (b) the amount involved exceeded or will exceed $120,000 or, during such time as we qualify as a “smaller reporting company,” the lesser of (1) $120,000 or (2) 1% of the average of our total assets for the last two completed fiscal years, and (c) one or more related persons had a direct or indirect material interest. Transactions involving compensation for services provided to us by an employee, director, consultant or individual performing in a similar capacity by a related person are not covered by this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Since January 1, 2021, we have engaged in, or currently propose to engage in, the following related-party transactions. We believe that all of these transactions were on terms comparable to terms that could have been obtained from unrelated third parties.</w:t>
      </w:r>
    </w:p>
    <w:p>
      <w:pPr>
        <w:sectPr>
          <w:pgSz w:w="11900" w:h="16838" w:orient="portrait"/>
          <w:cols w:equalWidth="0" w:num="1">
            <w:col w:w="11220"/>
          </w:cols>
          <w:pgMar w:left="320" w:top="6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603"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Gary J. Bridger, Ph.D.</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September 17, 2020, we entered into an independent contractor agreement, as amended, with Gary J. Bridger, Ph.D., pursuant to which Dr. Bridger was entitled to receive $30,000 per month and a non-qualified stock option to purchase 30,000 shares of our common stock in consideration for his performance of certain consulting services to the Company during the period from September 17, 2020 to January 1, 2023. We granted Dr. Bridger an option to purchase 30,000 shares of our common stock at a strike price of $7.33 on October 5,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Murray Stewart, M.D.</w:t>
      </w:r>
    </w:p>
    <w:p>
      <w:pPr>
        <w:spacing w:after="0" w:line="2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On September 17, 2020, we entered into an independent contractor agreement with Murray Stewart M.D., pursuant to which Dr. Stewart was entitled to receive $450 per hour and a non-qualified stock option to purchase 10,000 shares of our common stock in consideration of his performance of certain consulting services to us during the period from September 17, 2020 to September 17, 2021. We granted Dr. Stewart an option to purchase 10,000 shares of our common stock at a strike price of $7.27 on October 20, 2020.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3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Each of our executive officers has entered into a written employment agreement with us that provides for payment of base salary, target annual cash incentive compensation, eligibility for employee benefit programs and potential severance benefits. For more information regarding these agreements with our named executive officers, see “Executive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 Granted to Executive Officers and Directors</w:t>
      </w:r>
    </w:p>
    <w:p>
      <w:pPr>
        <w:spacing w:after="0" w:line="3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We have granted options to our executive officers and directors. For more information regarding the equity awards granted to our named executive officers and directors, see “Executive Compensation” and “Director Compensation for Fiscal Year 2021.”</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provide indemnification for our directors and executive officers so that they will be free from undue concern about personal liability in connection with their service to us. Under our Bylaws, we are required to indemnify our directors and executive officers to the extent not prohibited under Delaware or other applicable law. We has also entered into indemnity agreements with certain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603" w:right="3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X4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X4. Direct your written request to X4 Pharmaceuticals, Inc., Attn: Corporate Secretary, 61 North Beacon Street, 4th Floor, Boston, MA 02134 or contact the Corporate Secretary at (857) 529-8300.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603" w:right="37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71450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Paula Ragan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2022</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2021 is available without charge upon written request to: Corporate Secretary, X4 Pharmaceuticals, Inc., 61 North Beacon Street, 4th Floor, Boston, MA 02134.</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603" w:right="359" w:bottom="144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5434965" cy="6815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34965" cy="6815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349240" cy="4166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1662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Letter"/>
      <w:start w:val="2"/>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2)"/>
      <w:numFmt w:val="lowerRoman"/>
      <w:start w:val="1"/>
    </w:lvl>
  </w:abstractNum>
  <w:abstractNum w:abstractNumId="15">
    <w:nsid w:val="628C895D"/>
    <w:multiLevelType w:val="hybridMultilevel"/>
    <w:lvl w:ilvl="0">
      <w:lvlJc w:val="left"/>
      <w:lvlText w:val="(%1)"/>
      <w:numFmt w:val="decimal"/>
      <w:start w:val="2"/>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1)"/>
      <w:numFmt w:val="decimal"/>
      <w:start w:val="6"/>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2022-04-25T18:04:47Z</dcterms:created>
  <dcterms:modified xsi:type="dcterms:W3CDTF">2022-04-25T18:04:47Z</dcterms:modified>
</cp:coreProperties>
</file>