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728345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753745</wp:posOffset>
            </wp:positionV>
            <wp:extent cx="6591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8255"/>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2452370</wp:posOffset>
            </wp:positionH>
            <wp:positionV relativeFrom="paragraph">
              <wp:posOffset>23495</wp:posOffset>
            </wp:positionV>
            <wp:extent cx="2237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7740" cy="825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-219710</wp:posOffset>
            </wp:positionV>
            <wp:extent cx="2237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47" w:lineRule="exact"/>
        <w:rPr>
          <w:sz w:val="24"/>
          <w:szCs w:val="24"/>
          <w:color w:val="auto"/>
        </w:rPr>
      </w:pPr>
    </w:p>
    <w:p>
      <w:pPr>
        <w:ind w:left="460" w:hanging="436"/>
        <w:spacing w:after="0"/>
        <w:tabs>
          <w:tab w:leader="none" w:pos="46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9" w:lineRule="exact"/>
        <w:rPr>
          <w:sz w:val="24"/>
          <w:szCs w:val="24"/>
          <w:color w:val="auto"/>
        </w:rPr>
      </w:pPr>
    </w:p>
    <w:p>
      <w:pPr>
        <w:ind w:left="540" w:hanging="444"/>
        <w:spacing w:after="0"/>
        <w:tabs>
          <w:tab w:leader="none" w:pos="54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001-38295</w:t>
      </w:r>
    </w:p>
    <w:p>
      <w:pPr>
        <w:spacing w:after="0" w:line="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X4 PHARMACEUTICALS,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w:t>
      </w:r>
    </w:p>
    <w:tbl>
      <w:tblPr>
        <w:tblLayout w:type="fixed"/>
        <w:tblInd w:w="1240" w:type="dxa"/>
        <w:tblCellMar>
          <w:top w:w="0" w:type="dxa"/>
          <w:left w:w="0" w:type="dxa"/>
          <w:bottom w:w="0" w:type="dxa"/>
          <w:right w:w="0" w:type="dxa"/>
        </w:tblCellMar>
      </w:tblPr>
      <w:tr>
        <w:trPr>
          <w:trHeight w:val="157"/>
        </w:trPr>
        <w:tc>
          <w:tcPr>
            <w:tcW w:w="5920" w:type="dxa"/>
            <w:vAlign w:val="bottom"/>
            <w:vMerge w:val="restart"/>
          </w:tcPr>
          <w:p>
            <w:pPr>
              <w:jc w:val="center"/>
              <w:ind w:right="247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180" w:type="dxa"/>
            <w:vAlign w:val="bottom"/>
          </w:tcPr>
          <w:p>
            <w:pPr>
              <w:jc w:val="right"/>
              <w:ind w:right="629"/>
              <w:spacing w:after="0" w:line="157" w:lineRule="exact"/>
              <w:rPr>
                <w:sz w:val="20"/>
                <w:szCs w:val="20"/>
                <w:color w:val="auto"/>
              </w:rPr>
            </w:pPr>
            <w:r>
              <w:rPr>
                <w:rFonts w:ascii="Times New Roman" w:cs="Times New Roman" w:eastAsia="Times New Roman" w:hAnsi="Times New Roman"/>
                <w:sz w:val="14"/>
                <w:szCs w:val="14"/>
                <w:b w:val="1"/>
                <w:bCs w:val="1"/>
                <w:color w:val="auto"/>
              </w:rPr>
              <w:t>27-3181608</w:t>
            </w:r>
          </w:p>
        </w:tc>
        <w:tc>
          <w:tcPr>
            <w:tcW w:w="0" w:type="dxa"/>
            <w:vAlign w:val="bottom"/>
          </w:tcPr>
          <w:p>
            <w:pPr>
              <w:spacing w:after="0"/>
              <w:rPr>
                <w:sz w:val="1"/>
                <w:szCs w:val="1"/>
                <w:color w:val="auto"/>
              </w:rPr>
            </w:pPr>
          </w:p>
        </w:tc>
      </w:tr>
      <w:tr>
        <w:trPr>
          <w:trHeight w:val="66"/>
        </w:trPr>
        <w:tc>
          <w:tcPr>
            <w:tcW w:w="5920" w:type="dxa"/>
            <w:vAlign w:val="bottom"/>
            <w:vMerge w:val="continue"/>
          </w:tcPr>
          <w:p>
            <w:pPr>
              <w:spacing w:after="0"/>
              <w:rPr>
                <w:sz w:val="5"/>
                <w:szCs w:val="5"/>
                <w:color w:val="auto"/>
              </w:rPr>
            </w:pPr>
          </w:p>
        </w:tc>
        <w:tc>
          <w:tcPr>
            <w:tcW w:w="218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18"/>
        </w:trPr>
        <w:tc>
          <w:tcPr>
            <w:tcW w:w="5920" w:type="dxa"/>
            <w:vAlign w:val="bottom"/>
            <w:vMerge w:val="restart"/>
          </w:tcPr>
          <w:p>
            <w:pPr>
              <w:jc w:val="center"/>
              <w:ind w:right="2471"/>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592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0"/>
        </w:trPr>
        <w:tc>
          <w:tcPr>
            <w:tcW w:w="5920" w:type="dxa"/>
            <w:vAlign w:val="bottom"/>
          </w:tcPr>
          <w:p>
            <w:pPr>
              <w:jc w:val="center"/>
              <w:ind w:right="2451"/>
              <w:spacing w:after="0"/>
              <w:rPr>
                <w:sz w:val="20"/>
                <w:szCs w:val="20"/>
                <w:color w:val="auto"/>
              </w:rPr>
            </w:pPr>
            <w:r>
              <w:rPr>
                <w:rFonts w:ascii="Times New Roman" w:cs="Times New Roman" w:eastAsia="Times New Roman" w:hAnsi="Times New Roman"/>
                <w:sz w:val="14"/>
                <w:szCs w:val="14"/>
                <w:b w:val="1"/>
                <w:bCs w:val="1"/>
                <w:color w:val="auto"/>
              </w:rPr>
              <w:t>61 North Beacon Street, 4th Floor</w:t>
            </w:r>
          </w:p>
        </w:tc>
        <w:tc>
          <w:tcPr>
            <w:tcW w:w="2180" w:type="dxa"/>
            <w:vAlign w:val="bottom"/>
            <w:vMerge w:val="restart"/>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02134</w:t>
            </w:r>
          </w:p>
        </w:tc>
        <w:tc>
          <w:tcPr>
            <w:tcW w:w="0" w:type="dxa"/>
            <w:vAlign w:val="bottom"/>
          </w:tcPr>
          <w:p>
            <w:pPr>
              <w:spacing w:after="0"/>
              <w:rPr>
                <w:sz w:val="1"/>
                <w:szCs w:val="1"/>
                <w:color w:val="auto"/>
              </w:rPr>
            </w:pPr>
          </w:p>
        </w:tc>
      </w:tr>
      <w:tr>
        <w:trPr>
          <w:trHeight w:val="144"/>
        </w:trPr>
        <w:tc>
          <w:tcPr>
            <w:tcW w:w="5920" w:type="dxa"/>
            <w:vAlign w:val="bottom"/>
          </w:tcPr>
          <w:p>
            <w:pPr>
              <w:jc w:val="center"/>
              <w:ind w:right="2451"/>
              <w:spacing w:after="0" w:line="144" w:lineRule="exact"/>
              <w:rPr>
                <w:sz w:val="20"/>
                <w:szCs w:val="20"/>
                <w:color w:val="auto"/>
              </w:rPr>
            </w:pPr>
            <w:r>
              <w:rPr>
                <w:rFonts w:ascii="Times New Roman" w:cs="Times New Roman" w:eastAsia="Times New Roman" w:hAnsi="Times New Roman"/>
                <w:sz w:val="14"/>
                <w:szCs w:val="14"/>
                <w:b w:val="1"/>
                <w:bCs w:val="1"/>
                <w:color w:val="auto"/>
              </w:rPr>
              <w:t>Boston, Massachusetts</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920" w:type="dxa"/>
            <w:vAlign w:val="bottom"/>
          </w:tcPr>
          <w:p>
            <w:pPr>
              <w:jc w:val="center"/>
              <w:ind w:right="245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1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73"/>
        </w:trPr>
        <w:tc>
          <w:tcPr>
            <w:tcW w:w="5920" w:type="dxa"/>
            <w:vAlign w:val="bottom"/>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(857) 529-8300</w:t>
            </w: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5920" w:type="dxa"/>
            <w:vAlign w:val="bottom"/>
          </w:tcPr>
          <w:p>
            <w:pPr>
              <w:jc w:val="center"/>
              <w:ind w:left="2771"/>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20"/>
          </w:cols>
          <w:pgMar w:left="320" w:top="1360" w:right="359" w:bottom="1440" w:gutter="0" w:footer="0" w:header="0"/>
        </w:sectPr>
      </w:pPr>
    </w:p>
    <w:p>
      <w:pPr>
        <w:spacing w:after="0" w:line="120"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Trading Symbol(s)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34" w:lineRule="exact"/>
        <w:rPr>
          <w:sz w:val="24"/>
          <w:szCs w:val="24"/>
          <w:color w:val="auto"/>
        </w:rPr>
      </w:pPr>
    </w:p>
    <w:p>
      <w:pPr>
        <w:sectPr>
          <w:pgSz w:w="11900" w:h="16838" w:orient="portrait"/>
          <w:cols w:equalWidth="0" w:num="3">
            <w:col w:w="4420" w:space="720"/>
            <w:col w:w="2440" w:space="720"/>
            <w:col w:w="2920"/>
          </w:cols>
          <w:pgMar w:left="320" w:top="1360" w:right="35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2"/>
          <w:szCs w:val="12"/>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XFOR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The Nasdaq Stock Market LLC</w:t>
      </w:r>
    </w:p>
    <w:p>
      <w:pPr>
        <w:spacing w:after="0" w:line="167" w:lineRule="exact"/>
        <w:rPr>
          <w:sz w:val="24"/>
          <w:szCs w:val="24"/>
          <w:color w:val="auto"/>
        </w:rPr>
      </w:pPr>
    </w:p>
    <w:p>
      <w:pPr>
        <w:sectPr>
          <w:pgSz w:w="11900" w:h="16838" w:orient="portrait"/>
          <w:cols w:equalWidth="0" w:num="3">
            <w:col w:w="4720" w:space="720"/>
            <w:col w:w="2440" w:space="720"/>
            <w:col w:w="2620"/>
          </w:cols>
          <w:pgMar w:left="320" w:top="1360"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ectPr>
          <w:pgSz w:w="11900" w:h="16838" w:orient="portrait"/>
          <w:cols w:equalWidth="0" w:num="1">
            <w:col w:w="11220"/>
          </w:cols>
          <w:pgMar w:left="320" w:top="1360" w:right="359" w:bottom="1440" w:gutter="0" w:footer="0" w:header="0"/>
          <w:type w:val="continuous"/>
        </w:sectPr>
      </w:pPr>
    </w:p>
    <w:p>
      <w:pPr>
        <w:spacing w:after="0" w:line="3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64" w:lineRule="exact"/>
        <w:rPr>
          <w:sz w:val="24"/>
          <w:szCs w:val="24"/>
          <w:color w:val="auto"/>
        </w:rPr>
      </w:pPr>
    </w:p>
    <w:p>
      <w:pPr>
        <w:sectPr>
          <w:pgSz w:w="11900" w:h="16838" w:orient="portrait"/>
          <w:cols w:equalWidth="0" w:num="3">
            <w:col w:w="6180" w:space="120"/>
            <w:col w:w="160" w:space="60"/>
            <w:col w:w="4700"/>
          </w:cols>
          <w:pgMar w:left="320" w:top="1360" w:right="359" w:bottom="1440" w:gutter="0" w:footer="0" w:header="0"/>
          <w:type w:val="continuous"/>
        </w:sect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40" w:lineRule="exact"/>
        <w:rPr>
          <w:sz w:val="24"/>
          <w:szCs w:val="24"/>
          <w:color w:val="auto"/>
        </w:rPr>
      </w:pPr>
    </w:p>
    <w:p>
      <w:pPr>
        <w:ind w:right="38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2" w:lineRule="exact"/>
        <w:rPr>
          <w:sz w:val="24"/>
          <w:szCs w:val="24"/>
          <w:color w:val="auto"/>
        </w:rPr>
      </w:pPr>
    </w:p>
    <w:p>
      <w:pPr>
        <w:ind w:right="18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(of this chapter) during the preceding 12 months (of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18"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360" w:type="dxa"/>
            <w:vAlign w:val="bottom"/>
          </w:tcPr>
          <w:p>
            <w:pPr>
              <w:ind w:left="1040"/>
              <w:spacing w:after="0" w:line="121" w:lineRule="exact"/>
              <w:rPr>
                <w:sz w:val="20"/>
                <w:szCs w:val="20"/>
                <w:color w:val="auto"/>
              </w:rPr>
            </w:pPr>
            <w:r>
              <w:rPr>
                <w:rFonts w:ascii="MS PGothic" w:cs="MS PGothic" w:eastAsia="MS PGothic" w:hAnsi="MS PGothic"/>
                <w:sz w:val="12"/>
                <w:szCs w:val="12"/>
                <w:color w:val="auto"/>
              </w:rPr>
              <w:t>☐</w:t>
            </w:r>
          </w:p>
        </w:tc>
        <w:tc>
          <w:tcPr>
            <w:tcW w:w="450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Accelerated Filer</w:t>
            </w:r>
          </w:p>
        </w:tc>
        <w:tc>
          <w:tcPr>
            <w:tcW w:w="10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360" w:type="dxa"/>
            <w:vAlign w:val="bottom"/>
          </w:tcPr>
          <w:p>
            <w:pPr>
              <w:ind w:left="1040"/>
              <w:spacing w:after="0" w:line="121" w:lineRule="exact"/>
              <w:rPr>
                <w:sz w:val="20"/>
                <w:szCs w:val="20"/>
                <w:color w:val="auto"/>
              </w:rPr>
            </w:pPr>
            <w:r>
              <w:rPr>
                <w:rFonts w:ascii="MS PGothic" w:cs="MS PGothic" w:eastAsia="MS PGothic" w:hAnsi="MS PGothic"/>
                <w:sz w:val="12"/>
                <w:szCs w:val="12"/>
                <w:color w:val="auto"/>
              </w:rPr>
              <w:t>☒</w:t>
            </w:r>
          </w:p>
        </w:tc>
        <w:tc>
          <w:tcPr>
            <w:tcW w:w="450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0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52"/>
        </w:trPr>
        <w:tc>
          <w:tcPr>
            <w:tcW w:w="22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500" w:type="dxa"/>
            <w:vAlign w:val="bottom"/>
          </w:tcPr>
          <w:p>
            <w:pPr>
              <w:ind w:left="2200"/>
              <w:spacing w:after="0"/>
              <w:rPr>
                <w:sz w:val="20"/>
                <w:szCs w:val="20"/>
                <w:color w:val="auto"/>
              </w:rPr>
            </w:pPr>
            <w:r>
              <w:rPr>
                <w:rFonts w:ascii="Times New Roman" w:cs="Times New Roman" w:eastAsia="Times New Roman" w:hAnsi="Times New Roman"/>
                <w:sz w:val="12"/>
                <w:szCs w:val="12"/>
                <w:color w:val="auto"/>
              </w:rPr>
              <w:t>Emerging growth company</w:t>
            </w:r>
          </w:p>
        </w:tc>
        <w:tc>
          <w:tcPr>
            <w:tcW w:w="10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72" w:lineRule="exact"/>
        <w:rPr>
          <w:sz w:val="24"/>
          <w:szCs w:val="24"/>
          <w:color w:val="auto"/>
        </w:rPr>
      </w:pPr>
    </w:p>
    <w:p>
      <w:pPr>
        <w:ind w:right="5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73" w:lineRule="exact"/>
        <w:rPr>
          <w:sz w:val="24"/>
          <w:szCs w:val="24"/>
          <w:color w:val="auto"/>
        </w:rPr>
      </w:pPr>
    </w:p>
    <w:p>
      <w:pPr>
        <w:ind w:right="18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9" w:lineRule="exact"/>
        <w:rPr>
          <w:sz w:val="24"/>
          <w:szCs w:val="24"/>
          <w:color w:val="auto"/>
        </w:rPr>
      </w:pPr>
    </w:p>
    <w:p>
      <w:pPr>
        <w:ind w:right="320"/>
        <w:spacing w:after="0" w:line="170"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73" w:lineRule="exact"/>
        <w:rPr>
          <w:sz w:val="24"/>
          <w:szCs w:val="24"/>
          <w:color w:val="auto"/>
        </w:rPr>
      </w:pPr>
    </w:p>
    <w:p>
      <w:pPr>
        <w:ind w:right="44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2"/>
          <w:szCs w:val="12"/>
          <w:color w:val="auto"/>
        </w:rPr>
        <w:t>☐</w:t>
      </w:r>
    </w:p>
    <w:p>
      <w:pPr>
        <w:spacing w:after="0" w:line="45" w:lineRule="exact"/>
        <w:rPr>
          <w:sz w:val="24"/>
          <w:szCs w:val="24"/>
          <w:color w:val="auto"/>
        </w:rPr>
      </w:pPr>
    </w:p>
    <w:p>
      <w:pPr>
        <w:spacing w:after="0" w:line="138" w:lineRule="exact"/>
        <w:tabs>
          <w:tab w:leader="none" w:pos="576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0"/>
          <w:szCs w:val="10"/>
          <w:color w:val="auto"/>
        </w:rPr>
        <w:t>☐</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On June 30, 2024, the aggregate market value of the registrant’s voting common stock held by non-affiliates of the registrant was approximately $96 million based upon the closing sale price on the Nasdaq Capital Market</w:t>
      </w:r>
    </w:p>
    <w:p>
      <w:pPr>
        <w:spacing w:after="0" w:line="22"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2"/>
          <w:szCs w:val="12"/>
          <w:color w:val="auto"/>
        </w:rPr>
        <w:t>reported on June 30, 2024.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23" w:lineRule="exact"/>
        <w:rPr>
          <w:sz w:val="24"/>
          <w:szCs w:val="24"/>
          <w:color w:val="auto"/>
        </w:rPr>
      </w:pPr>
    </w:p>
    <w:p>
      <w:pPr>
        <w:ind w:left="20"/>
        <w:spacing w:after="0"/>
        <w:tabs>
          <w:tab w:leader="none" w:pos="3360" w:val="left"/>
          <w:tab w:leader="none" w:pos="5600" w:val="left"/>
          <w:tab w:leader="none" w:pos="7560" w:val="left"/>
          <w:tab w:leader="none" w:pos="10240" w:val="left"/>
        </w:tabs>
        <w:rPr>
          <w:sz w:val="20"/>
          <w:szCs w:val="20"/>
          <w:color w:val="auto"/>
        </w:rPr>
      </w:pPr>
      <w:r>
        <w:rPr>
          <w:rFonts w:ascii="Times New Roman" w:cs="Times New Roman" w:eastAsia="Times New Roman" w:hAnsi="Times New Roman"/>
          <w:sz w:val="12"/>
          <w:szCs w:val="12"/>
          <w:color w:val="auto"/>
        </w:rPr>
        <w:t>Independent Registered Public Accounting Firm</w:t>
      </w:r>
      <w:r>
        <w:rPr>
          <w:sz w:val="20"/>
          <w:szCs w:val="20"/>
          <w:color w:val="auto"/>
        </w:rPr>
        <w:tab/>
      </w:r>
      <w:r>
        <w:rPr>
          <w:rFonts w:ascii="Times New Roman" w:cs="Times New Roman" w:eastAsia="Times New Roman" w:hAnsi="Times New Roman"/>
          <w:sz w:val="12"/>
          <w:szCs w:val="12"/>
          <w:color w:val="auto"/>
        </w:rPr>
        <w:t>PricewaterhouseCoopers LLP</w:t>
      </w:r>
      <w:r>
        <w:rPr>
          <w:sz w:val="20"/>
          <w:szCs w:val="20"/>
          <w:color w:val="auto"/>
        </w:rPr>
        <w:tab/>
      </w:r>
      <w:r>
        <w:rPr>
          <w:rFonts w:ascii="Times New Roman" w:cs="Times New Roman" w:eastAsia="Times New Roman" w:hAnsi="Times New Roman"/>
          <w:sz w:val="12"/>
          <w:szCs w:val="12"/>
          <w:color w:val="auto"/>
        </w:rPr>
        <w:t>Boston, Massachusetts, US</w:t>
      </w:r>
      <w:r>
        <w:rPr>
          <w:sz w:val="20"/>
          <w:szCs w:val="20"/>
          <w:color w:val="auto"/>
        </w:rPr>
        <w:tab/>
      </w:r>
      <w:r>
        <w:rPr>
          <w:rFonts w:ascii="Times New Roman" w:cs="Times New Roman" w:eastAsia="Times New Roman" w:hAnsi="Times New Roman"/>
          <w:sz w:val="12"/>
          <w:szCs w:val="12"/>
          <w:color w:val="auto"/>
        </w:rPr>
        <w:t>Firm ID</w:t>
      </w:r>
      <w:r>
        <w:rPr>
          <w:sz w:val="20"/>
          <w:szCs w:val="20"/>
          <w:color w:val="auto"/>
        </w:rPr>
        <w:tab/>
      </w:r>
      <w:r>
        <w:rPr>
          <w:rFonts w:ascii="Times New Roman" w:cs="Times New Roman" w:eastAsia="Times New Roman" w:hAnsi="Times New Roman"/>
          <w:sz w:val="12"/>
          <w:szCs w:val="12"/>
          <w:color w:val="auto"/>
        </w:rPr>
        <w:t>238</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March 20, 2025, there were 173,662,376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193040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4"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Portions of the registrant’s definitive proxy statement, (the “2025 Proxy Statement”) for its 2025 Annual Meeting of Stockholders, which the registrant intends to file pursuant to Regulation 14A with the Securities and Exchange Commission not later than 120 days after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561340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60"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20" w:type="dxa"/>
            <w:vAlign w:val="bottom"/>
            <w:gridSpan w:val="11"/>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600" w:type="dxa"/>
            <w:vAlign w:val="bottom"/>
            <w:gridSpan w:val="4"/>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20" w:type="dxa"/>
            <w:vAlign w:val="bottom"/>
            <w:gridSpan w:val="22"/>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63</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146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CYBERSECURITY</w:t>
            </w:r>
          </w:p>
        </w:tc>
        <w:tc>
          <w:tcPr>
            <w:tcW w:w="1300" w:type="dxa"/>
            <w:vAlign w:val="bottom"/>
            <w:tcBorders>
              <w:top w:val="single" w:sz="8" w:color="0000FF"/>
            </w:tcBorders>
            <w:gridSpan w:val="6"/>
          </w:tcPr>
          <w:p>
            <w:pPr>
              <w:spacing w:after="0"/>
              <w:rPr>
                <w:sz w:val="17"/>
                <w:szCs w:val="17"/>
                <w:color w:val="auto"/>
              </w:rPr>
            </w:pPr>
          </w:p>
        </w:tc>
        <w:tc>
          <w:tcPr>
            <w:tcW w:w="6300" w:type="dxa"/>
            <w:vAlign w:val="bottom"/>
            <w:gridSpan w:val="12"/>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63</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104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PROPERTIES</w:t>
            </w:r>
          </w:p>
        </w:tc>
        <w:tc>
          <w:tcPr>
            <w:tcW w:w="8020" w:type="dxa"/>
            <w:vAlign w:val="bottom"/>
            <w:gridSpan w:val="20"/>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64</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64</w:t>
            </w:r>
          </w:p>
        </w:tc>
      </w:tr>
      <w:tr>
        <w:trPr>
          <w:trHeight w:val="219"/>
        </w:trPr>
        <w:tc>
          <w:tcPr>
            <w:tcW w:w="2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40" w:type="dxa"/>
            <w:vAlign w:val="bottom"/>
            <w:gridSpan w:val="3"/>
          </w:tcPr>
          <w:p>
            <w:pPr>
              <w:spacing w:after="0"/>
              <w:rPr>
                <w:sz w:val="21"/>
                <w:szCs w:val="21"/>
                <w:color w:val="auto"/>
              </w:rPr>
            </w:pPr>
          </w:p>
        </w:tc>
        <w:tc>
          <w:tcPr>
            <w:tcW w:w="81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w:t>
            </w:r>
          </w:p>
        </w:tc>
        <w:tc>
          <w:tcPr>
            <w:tcW w:w="940" w:type="dxa"/>
            <w:vAlign w:val="bottom"/>
            <w:gridSpan w:val="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92"/>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40" w:type="dxa"/>
            <w:vAlign w:val="bottom"/>
            <w:tcBorders>
              <w:bottom w:val="single" w:sz="8" w:color="0000FF"/>
            </w:tcBorders>
            <w:gridSpan w:val="12"/>
          </w:tcPr>
          <w:p>
            <w:pPr>
              <w:spacing w:after="0" w:line="192" w:lineRule="exact"/>
              <w:rPr>
                <w:sz w:val="20"/>
                <w:szCs w:val="20"/>
                <w:color w:val="auto"/>
              </w:rPr>
            </w:pPr>
            <w:r>
              <w:rPr>
                <w:rFonts w:ascii="Times New Roman" w:cs="Times New Roman" w:eastAsia="Times New Roman" w:hAnsi="Times New Roman"/>
                <w:sz w:val="18"/>
                <w:szCs w:val="18"/>
                <w:color w:val="0000FF"/>
                <w:w w:val="97"/>
              </w:rPr>
              <w:t>PURCHASES OF EQUITY SECURITIES</w:t>
            </w:r>
          </w:p>
        </w:tc>
        <w:tc>
          <w:tcPr>
            <w:tcW w:w="6020" w:type="dxa"/>
            <w:vAlign w:val="bottom"/>
            <w:gridSpan w:val="11"/>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8040" w:type="dxa"/>
            <w:vAlign w:val="bottom"/>
            <w:gridSpan w:val="21"/>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876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0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66</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76</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4580" w:type="dxa"/>
            <w:vAlign w:val="bottom"/>
            <w:tcBorders>
              <w:top w:val="single" w:sz="8" w:color="0000FF"/>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5"/>
              </w:rPr>
              <w:t>FINANCIAL STATEMENTS AND SUPPLEMENTARY DATA</w:t>
            </w:r>
          </w:p>
        </w:tc>
        <w:tc>
          <w:tcPr>
            <w:tcW w:w="1440" w:type="dxa"/>
            <w:vAlign w:val="bottom"/>
            <w:tcBorders>
              <w:top w:val="single" w:sz="8" w:color="0000FF"/>
            </w:tcBorders>
            <w:gridSpan w:val="2"/>
          </w:tcPr>
          <w:p>
            <w:pPr>
              <w:spacing w:after="0"/>
              <w:rPr>
                <w:sz w:val="17"/>
                <w:szCs w:val="17"/>
                <w:color w:val="auto"/>
              </w:rPr>
            </w:pPr>
          </w:p>
        </w:tc>
        <w:tc>
          <w:tcPr>
            <w:tcW w:w="3040" w:type="dxa"/>
            <w:vAlign w:val="bottom"/>
            <w:gridSpan w:val="6"/>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76</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9060" w:type="dxa"/>
            <w:vAlign w:val="bottom"/>
            <w:tcBorders>
              <w:bottom w:val="single" w:sz="8" w:color="0000FF"/>
            </w:tcBorders>
            <w:gridSpan w:val="23"/>
          </w:tcPr>
          <w:p>
            <w:pPr>
              <w:spacing w:after="0" w:line="205" w:lineRule="exact"/>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DISCLOSURES</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76</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256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500" w:type="dxa"/>
            <w:vAlign w:val="bottom"/>
            <w:gridSpan w:val="13"/>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76</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86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OTHER INFORMATION</w:t>
            </w:r>
          </w:p>
        </w:tc>
        <w:tc>
          <w:tcPr>
            <w:tcW w:w="7200" w:type="dxa"/>
            <w:vAlign w:val="bottom"/>
            <w:gridSpan w:val="16"/>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77</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3"/>
          </w:tcPr>
          <w:p>
            <w:pPr>
              <w:spacing w:after="0" w:line="19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77</w:t>
            </w:r>
          </w:p>
        </w:tc>
      </w:tr>
      <w:tr>
        <w:trPr>
          <w:trHeight w:val="258"/>
        </w:trPr>
        <w:tc>
          <w:tcPr>
            <w:tcW w:w="20" w:type="dxa"/>
            <w:vAlign w:val="bottom"/>
          </w:tcPr>
          <w:p>
            <w:pPr>
              <w:spacing w:after="0"/>
              <w:rPr>
                <w:sz w:val="22"/>
                <w:szCs w:val="22"/>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460" w:type="dxa"/>
            <w:vAlign w:val="bottom"/>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86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12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5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3360" w:type="dxa"/>
            <w:vAlign w:val="bottom"/>
            <w:gridSpan w:val="7"/>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78</w:t>
            </w:r>
          </w:p>
        </w:tc>
      </w:tr>
      <w:tr>
        <w:trPr>
          <w:trHeight w:val="152"/>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60" w:type="dxa"/>
            <w:vAlign w:val="bottom"/>
            <w:tcBorders>
              <w:top w:val="single" w:sz="8" w:color="0000FF"/>
            </w:tcBorders>
            <w:gridSpan w:val="20"/>
          </w:tcPr>
          <w:p>
            <w:pPr>
              <w:spacing w:after="0" w:line="152" w:lineRule="exact"/>
              <w:rPr>
                <w:sz w:val="20"/>
                <w:szCs w:val="20"/>
                <w:color w:val="auto"/>
              </w:rPr>
            </w:pPr>
            <w:r>
              <w:rPr>
                <w:rFonts w:ascii="Times New Roman" w:cs="Times New Roman" w:eastAsia="Times New Roman" w:hAnsi="Times New Roman"/>
                <w:sz w:val="17"/>
                <w:szCs w:val="17"/>
                <w:color w:val="0000FF"/>
              </w:rPr>
              <w:t>STOCKHOLDER MATTERS</w:t>
            </w:r>
          </w:p>
        </w:tc>
        <w:tc>
          <w:tcPr>
            <w:tcW w:w="120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5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500" w:type="dxa"/>
            <w:vAlign w:val="bottom"/>
            <w:gridSpan w:val="4"/>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906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78</w:t>
            </w:r>
          </w:p>
        </w:tc>
      </w:tr>
      <w:tr>
        <w:trPr>
          <w:trHeight w:val="219"/>
        </w:trPr>
        <w:tc>
          <w:tcPr>
            <w:tcW w:w="2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480" w:type="dxa"/>
            <w:vAlign w:val="bottom"/>
            <w:gridSpan w:val="2"/>
          </w:tcPr>
          <w:p>
            <w:pPr>
              <w:spacing w:after="0"/>
              <w:rPr>
                <w:sz w:val="20"/>
                <w:szCs w:val="20"/>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EXHIBIT AND FINANCIAL STATEMENT SCHEDULES</w:t>
            </w:r>
          </w:p>
        </w:tc>
        <w:tc>
          <w:tcPr>
            <w:tcW w:w="4800" w:type="dxa"/>
            <w:vAlign w:val="bottom"/>
            <w:gridSpan w:val="9"/>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5"/>
        </w:trPr>
        <w:tc>
          <w:tcPr>
            <w:tcW w:w="20" w:type="dxa"/>
            <w:vAlign w:val="bottom"/>
          </w:tcPr>
          <w:p>
            <w:pPr>
              <w:spacing w:after="0"/>
              <w:rPr>
                <w:sz w:val="17"/>
                <w:szCs w:val="17"/>
                <w:color w:val="auto"/>
              </w:rPr>
            </w:pPr>
          </w:p>
        </w:tc>
        <w:tc>
          <w:tcPr>
            <w:tcW w:w="118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Item 16.</w:t>
            </w:r>
          </w:p>
        </w:tc>
        <w:tc>
          <w:tcPr>
            <w:tcW w:w="186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7200" w:type="dxa"/>
            <w:vAlign w:val="bottom"/>
            <w:gridSpan w:val="16"/>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82</w:t>
            </w:r>
          </w:p>
        </w:tc>
      </w:tr>
      <w:tr>
        <w:trPr>
          <w:trHeight w:val="90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80" w:type="dxa"/>
            <w:vAlign w:val="bottom"/>
            <w:gridSpan w:val="15"/>
          </w:tcPr>
          <w:p>
            <w:pPr>
              <w:ind w:left="438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 w:name="page3"/>
    <w:bookmarkEnd w:id="2"/>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These forward-looking statements are subject to a number of known and unknown risks, uncertainties and assumptions, including risks described in the section titled “Risk Factors” and elsewhere in this report, regarding, among other things:</w:t>
      </w:r>
    </w:p>
    <w:p>
      <w:pPr>
        <w:spacing w:after="0" w:line="200" w:lineRule="exact"/>
        <w:rPr>
          <w:sz w:val="20"/>
          <w:szCs w:val="20"/>
          <w:color w:val="auto"/>
        </w:rPr>
      </w:pPr>
    </w:p>
    <w:p>
      <w:pPr>
        <w:spacing w:after="0" w:line="213" w:lineRule="exact"/>
        <w:rPr>
          <w:sz w:val="20"/>
          <w:szCs w:val="20"/>
          <w:color w:val="auto"/>
        </w:rPr>
      </w:pPr>
    </w:p>
    <w:p>
      <w:pPr>
        <w:ind w:left="1600" w:right="60" w:hanging="640"/>
        <w:spacing w:after="0" w:line="244"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regain compliance with Nasdaq’s listing requirements. If we do not regain compliance, our securities may be delisted, which could materially impact the market price and liquidity of our common stock and may adversely affect our ability to raise capital;</w:t>
      </w:r>
    </w:p>
    <w:p>
      <w:pPr>
        <w:spacing w:after="0" w:line="70" w:lineRule="exact"/>
        <w:rPr>
          <w:rFonts w:ascii="Times New Roman" w:cs="Times New Roman" w:eastAsia="Times New Roman" w:hAnsi="Times New Roman"/>
          <w:sz w:val="18"/>
          <w:szCs w:val="18"/>
          <w:color w:val="auto"/>
        </w:rPr>
      </w:pPr>
    </w:p>
    <w:p>
      <w:pPr>
        <w:ind w:left="1600" w:right="120" w:hanging="640"/>
        <w:spacing w:after="0" w:line="244"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 of our existing product XOLREMDI (mavorixafor), or any product candidates that we may develop in the future, and any related restrictions, limitations, or warnings in the label of any approved product candidates;</w:t>
      </w:r>
    </w:p>
    <w:p>
      <w:pPr>
        <w:spacing w:after="0" w:line="70" w:lineRule="exact"/>
        <w:rPr>
          <w:rFonts w:ascii="Times New Roman" w:cs="Times New Roman" w:eastAsia="Times New Roman" w:hAnsi="Times New Roman"/>
          <w:sz w:val="18"/>
          <w:szCs w:val="18"/>
          <w:color w:val="auto"/>
        </w:rPr>
      </w:pPr>
    </w:p>
    <w:p>
      <w:pPr>
        <w:ind w:left="1600" w:right="20" w:hanging="640"/>
        <w:spacing w:after="0" w:line="243"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or achieve sufficient revenue to properly fund our business and operating plan as well as our ability to continue as a going concern;</w:t>
      </w:r>
    </w:p>
    <w:p>
      <w:pPr>
        <w:spacing w:after="0" w:line="71" w:lineRule="exact"/>
        <w:rPr>
          <w:rFonts w:ascii="Times New Roman" w:cs="Times New Roman" w:eastAsia="Times New Roman" w:hAnsi="Times New Roman"/>
          <w:sz w:val="18"/>
          <w:szCs w:val="18"/>
          <w:color w:val="auto"/>
        </w:rPr>
      </w:pPr>
    </w:p>
    <w:p>
      <w:pPr>
        <w:ind w:left="1600" w:right="260" w:hanging="640"/>
        <w:spacing w:after="0" w:line="288" w:lineRule="auto"/>
        <w:tabs>
          <w:tab w:leader="none" w:pos="15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34" w:lineRule="exact"/>
        <w:rPr>
          <w:rFonts w:ascii="Times New Roman" w:cs="Times New Roman" w:eastAsia="Times New Roman" w:hAnsi="Times New Roman"/>
          <w:sz w:val="17"/>
          <w:szCs w:val="17"/>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including clinical utility, that may be derived from XOLREMDI or any of our product candidates;</w:t>
      </w:r>
    </w:p>
    <w:p>
      <w:pPr>
        <w:spacing w:after="0" w:line="97"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manufacture and commercialize XOLREMDI or our product candidates;</w:t>
      </w:r>
    </w:p>
    <w:p>
      <w:pPr>
        <w:spacing w:after="0" w:line="97" w:lineRule="exact"/>
        <w:rPr>
          <w:rFonts w:ascii="Times New Roman" w:cs="Times New Roman" w:eastAsia="Times New Roman" w:hAnsi="Times New Roman"/>
          <w:sz w:val="18"/>
          <w:szCs w:val="18"/>
          <w:color w:val="auto"/>
        </w:rPr>
      </w:pPr>
    </w:p>
    <w:p>
      <w:pPr>
        <w:ind w:left="1600" w:right="520" w:hanging="640"/>
        <w:spacing w:after="0" w:line="258"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for our product candidates, along with regulatory developments in the United States and other foreign countries;</w:t>
      </w:r>
    </w:p>
    <w:p>
      <w:pPr>
        <w:spacing w:after="0" w:line="58" w:lineRule="exact"/>
        <w:rPr>
          <w:rFonts w:ascii="Times New Roman" w:cs="Times New Roman" w:eastAsia="Times New Roman" w:hAnsi="Times New Roman"/>
          <w:sz w:val="18"/>
          <w:szCs w:val="18"/>
          <w:color w:val="auto"/>
        </w:rPr>
      </w:pPr>
    </w:p>
    <w:p>
      <w:pPr>
        <w:ind w:left="1600" w:right="20" w:hanging="640"/>
        <w:spacing w:after="0" w:line="258"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XOLREMDI and our product candidates, if approved, and the rate and degree of market acceptance of XOLREMDI and our product candidates, including reimbursement that may be received from payors;</w:t>
      </w:r>
    </w:p>
    <w:p>
      <w:pPr>
        <w:spacing w:after="0" w:line="58" w:lineRule="exact"/>
        <w:rPr>
          <w:rFonts w:ascii="Times New Roman" w:cs="Times New Roman" w:eastAsia="Times New Roman" w:hAnsi="Times New Roman"/>
          <w:sz w:val="18"/>
          <w:szCs w:val="18"/>
          <w:color w:val="auto"/>
        </w:rPr>
      </w:pPr>
    </w:p>
    <w:p>
      <w:pPr>
        <w:ind w:left="1600" w:right="180" w:hanging="640"/>
        <w:spacing w:after="0" w:line="258"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U.S. Food and Drug Administration and European Commission designations, including, without limitation, Fast Track, orphan, and Breakthrough Therapy;</w:t>
      </w:r>
    </w:p>
    <w:p>
      <w:pPr>
        <w:spacing w:after="0" w:line="58"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97"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84"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97"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w:t>
      </w:r>
    </w:p>
    <w:p>
      <w:pPr>
        <w:spacing w:after="0" w:line="97"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7" w:lineRule="exact"/>
        <w:rPr>
          <w:rFonts w:ascii="Times New Roman" w:cs="Times New Roman" w:eastAsia="Times New Roman" w:hAnsi="Times New Roman"/>
          <w:sz w:val="18"/>
          <w:szCs w:val="18"/>
          <w:color w:val="auto"/>
        </w:rPr>
      </w:pPr>
    </w:p>
    <w:p>
      <w:pPr>
        <w:ind w:left="1600" w:right="820" w:hanging="640"/>
        <w:spacing w:after="0" w:line="258"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future operations, financial position, revenues, costs, expenses, uses of cash, capital requirements or our need for additional financing;</w:t>
      </w:r>
    </w:p>
    <w:p>
      <w:pPr>
        <w:spacing w:after="0" w:line="58"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in-license, acquire, develop and commercialize additional product candidates;</w:t>
      </w:r>
    </w:p>
    <w:p>
      <w:pPr>
        <w:spacing w:after="0" w:line="97"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97" w:lineRule="exact"/>
        <w:rPr>
          <w:rFonts w:ascii="Times New Roman" w:cs="Times New Roman" w:eastAsia="Times New Roman" w:hAnsi="Times New Roman"/>
          <w:sz w:val="18"/>
          <w:szCs w:val="18"/>
          <w:color w:val="auto"/>
        </w:rPr>
      </w:pPr>
    </w:p>
    <w:p>
      <w:pPr>
        <w:ind w:left="1600" w:right="580" w:hanging="640"/>
        <w:spacing w:after="0" w:line="258" w:lineRule="auto"/>
        <w:tabs>
          <w:tab w:leader="none" w:pos="15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identify additional product candidates with significant commercial potential that are consistent with our commercial objectives;</w:t>
      </w:r>
    </w:p>
    <w:p>
      <w:pPr>
        <w:spacing w:after="0" w:line="58" w:lineRule="exact"/>
        <w:rPr>
          <w:rFonts w:ascii="Times New Roman" w:cs="Times New Roman" w:eastAsia="Times New Roman" w:hAnsi="Times New Roman"/>
          <w:sz w:val="18"/>
          <w:szCs w:val="18"/>
          <w:color w:val="auto"/>
        </w:rPr>
      </w:pPr>
    </w:p>
    <w:p>
      <w:pPr>
        <w:ind w:left="1600" w:hanging="640"/>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46" w:lineRule="exact"/>
        <w:rPr>
          <w:sz w:val="20"/>
          <w:szCs w:val="20"/>
          <w:color w:val="auto"/>
        </w:rPr>
      </w:pPr>
    </w:p>
    <w:p>
      <w:pPr>
        <w:ind w:left="1600" w:hanging="640"/>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 in this Annual Report.</w:t>
      </w:r>
    </w:p>
    <w:p>
      <w:pPr>
        <w:spacing w:after="0" w:line="23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You should refer to the section titled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the context requires otherwise, references in this Annual Report to “X4”, “we”, “us” and “our” refer to X4 Pharmaceuticals,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are a biopharmaceutical company developing and commercializing novel therapeutics for the treatment of rare diseases of the immune system. We have successfully developed our first product, mavorixafor, in its first indication. Mavorixafor is an orally available, small-molecule selective antagonist of chemokine receptor CXCR4. Due to its ability to increase the mobilization of mature, functional white blood cells from the bone marrow into the bloodstream, we believe that mavorixafor has the potential to benefit people with a range of immunodeficiencies – a therapeutic market that is principally served by injectable therapies frequently associated with treatment-limiting adverse events.</w:t>
      </w:r>
    </w:p>
    <w:p>
      <w:pPr>
        <w:spacing w:after="0" w:line="21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 April 2024, the U.S. Food and Drug Administration (“FDA”) approved mavorixafor, which is being marketed in the U.S. under the trade name XOLREMDI®, for use as an oral, once-daily therapy in patients 12 years of age and older with WHIM syndrome (Warts, Hypogammaglobulinemia, Infections, and Myelokathexis) to increase the number of circulating mature neutrophils and lymphocytes. XOLREMDI is the first drug approved in the U.S. to treat patients with WHIM syndrome. We launched XOLREMDI in May 2024 and are currently marketing the drug in the U.S. through our X4 commercial team.</w:t>
      </w:r>
    </w:p>
    <w:p>
      <w:pPr>
        <w:spacing w:after="0" w:line="21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We believe that mavorixafor has the potential to provide therapeutic benefit across a variety of immune system disorders in addition to WHIM syndrome. As a result, following successful completion of a Phase 2 study evaluating mavorixafor in people with certain chronic neutropenic disorders, we have initiated a pivotal Phase 3 clinical trial of mavorixafor (the “4WARD” study) to evaluate the efficacy, safety, and tolerability of oral, once-daily mavorixafor with or without human granulocyte colony-stimulating factor (“G-CSF”) in people with congenital or acquired primary autoimmune and idiopathic chronic</w:t>
      </w:r>
    </w:p>
    <w:p>
      <w:pPr>
        <w:spacing w:after="0" w:line="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neutropenia who are experiencing recurrent and/or serious infections. The 52-week trial is a global, randomized, double-blind, placebo-controlled, multicenter study aiming to enroll 150 participants.</w:t>
      </w:r>
    </w:p>
    <w:p>
      <w:pPr>
        <w:spacing w:after="0" w:line="17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We are also seeking to commercialize mavorixafor outside of the U.S. To this end, we announced in January 2025 that our Marketing Authorisation Application (“MAA”) for mavorixafor in the treatment of WHIM syndrome was validated for review and is now under evaluation with the European Medicines Agency’s (“EMA”) Committee for Medicinal Products for Human Use. Also in January 2025, we announced that we entered into an exclusive licensing and supply agreement with Norgine Pharma UK Limited (“Norgine”) under which Norgine will commercialize mavorixafor in Europe, Australia, and New Zealand following any regulatory approvals in those territories. In February 2025, we announced that we had entered into an agreement with Taiba Middle East Fz LLC (“taiba rare”) to distribute and commercialize XOLREMDI for the treatment of WHIM syndrome in select Middle East and North African countries including Saudi Arabia, United Arab Emirates, Qatar, Oman, Kuwait, Bahrain, and Egypt following any regulatory approvals in those countries.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w:t>
      </w:r>
    </w:p>
    <w:p>
      <w:pPr>
        <w:spacing w:after="0" w:line="2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Since our inception, we have focused our business on the development of small-molecule, oral antagonists of the chemokine receptor CXCR4, or C-X-C receptor type 4. CXCR4 is a cell receptor that helps regulate the movement of immune cells within the body. CXCR4 receptor stimulation by its cognate ligand, CXCL12, has been shown to play a key role in the maturation and mobilization of white blood cells such as neutrophils, lymphocytes (including both B cells and T cells), and monocytes, into the bloodstream. Because antagonism of the CXCR4 receptor has been shown to increase the trafficking of white blood cells, we believe that therapeutic inhibition of the CXCR4/CXCL12 axis holds the potential to benefit people with a wide variety of diseases where there remain significant unmet needs, including chronic neutropenic disorders and certain types of cancer.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Product</w:t>
      </w:r>
    </w:p>
    <w:p>
      <w:pPr>
        <w:spacing w:after="0" w:line="2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deep understanding of the biology of the CXCR4 pathway has enabled us to successfully develop our first product, mavorixafor, in its first indication. In April 2024, we received FDA approval of mavorixafor, which is being marketed in the U.S. under the trade name XOLREMDI, for use as an oral, once-daily therapy in patients 12 years of age and older with WHIM syndrome to increase the number of circulating mature neutrophils and lymphocytes. XOLREMDI is the first drug approved in the U.S. to treat patients with WHIM syndrome.</w:t>
      </w:r>
    </w:p>
    <w:p>
      <w:pPr>
        <w:spacing w:after="0" w:line="215"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Mavorixafor has received multiple designations from global regulatory authorities in WHIM syndrome, including Breakthrough Therapy designation, Fast Track designation, and Rare Pediatric Disease designation by the FDA in the United States, and orphan designation in both the United States and European Union.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2"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Concurrent with the U.S. approval of XOLREMDI and pursuant to its Rare Pediatric Disease designation, the FDA granted us a Priority Review Voucher (“PRV”) that we sold to another drug sponsor shortly thereafter in May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WHIM Syndrome</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WHIM syndrome is both a rare, combined immunodeficiency and a congenital neutropenic disorder in which the body’s immune system does not function properly and has trouble fighting infections. In many patients, WHIM is caused by “gain of function” variations in the single gene that encodes for the CXCR4 receptor. In healthy individuals, the CXCR4 receptor is typically internalized into the cell after CXCL12 binds to it, enabling the receptor to be appropriately recycled and the signaling to be diminished. In most WHIM patients, however, a genetic variation in the receptor gene prevents the post-binding internalization (normal recycling) of the receptor. As a result, the CXCR4 receptor is maintained on the surface of the cell and is exposed to the ligand, which creates a perpetual “on” signal and retention of white blood cells in the bone marrow where they are produced, leading to the chronic peripheral neutropenia and lymphopenia that are the clinical hallmarks of WHIM syndrome.</w:t>
      </w:r>
    </w:p>
    <w:p>
      <w:pPr>
        <w:spacing w:after="0" w:line="21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Genetic testing is typically used to diagnose WHIM syndrome to confirm the presence of a genetic variation in the CXCR4 receptor. The diagnosis of WHIM syndrome may occur at any age: about one-half of reported patients are diagnosed as children, primarily before the age of 18 years, with the other half diagnosed as adults, mostly between 18 and 40 years of age.</w:t>
      </w:r>
    </w:p>
    <w:p>
      <w:pPr>
        <w:spacing w:after="0" w:line="204"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 xml:space="preserve">WHIM syndrome is named for its four common manifestations, although not all patients experience all symptoms, and not all symptoms are required for a diagnosis: </w:t>
      </w: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17"/>
          <w:szCs w:val="17"/>
          <w:color w:val="auto"/>
        </w:rPr>
        <w:t xml:space="preserve">arts, related to infection with the Human Papilloma Virus (“HPV”), </w:t>
      </w: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7"/>
          <w:szCs w:val="17"/>
          <w:color w:val="auto"/>
        </w:rPr>
        <w:t>ypogammaglobulinemia, a condition of low immunoglobulin (“IG”)</w:t>
      </w:r>
    </w:p>
    <w:p>
      <w:pPr>
        <w:spacing w:after="0" w:line="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 xml:space="preserve">levels,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8"/>
          <w:szCs w:val="18"/>
          <w:color w:val="auto"/>
        </w:rPr>
        <w:t xml:space="preserve">nfections, including both bacterial and fungal infections, and </w:t>
      </w:r>
      <w:r>
        <w:rPr>
          <w:rFonts w:ascii="Times New Roman" w:cs="Times New Roman" w:eastAsia="Times New Roman" w:hAnsi="Times New Roman"/>
          <w:sz w:val="21"/>
          <w:szCs w:val="21"/>
          <w:b w:val="1"/>
          <w:bCs w:val="1"/>
          <w:color w:val="auto"/>
        </w:rPr>
        <w:t>M</w:t>
      </w:r>
      <w:r>
        <w:rPr>
          <w:rFonts w:ascii="Times New Roman" w:cs="Times New Roman" w:eastAsia="Times New Roman" w:hAnsi="Times New Roman"/>
          <w:sz w:val="18"/>
          <w:szCs w:val="18"/>
          <w:color w:val="auto"/>
        </w:rPr>
        <w:t>yelokathexis, a hyper-dense population of immune cells in the bone marrow. These conditions reduce the body’s ability to achieve a healthy immune response. Left untreated, those with WHIM syndrome may experience debilitating and life-threatening complications, including an increased cancer risk, irreversible end-organ damage, and/or sepsis.</w:t>
      </w:r>
    </w:p>
    <w:p>
      <w:pPr>
        <w:spacing w:after="0" w:line="21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incidence and prevalence of WHIM syndrome are not well established. We believe that this is due to the relatively recent elucidation of the genetics underlying WHIM syndrome, lack of universal or accessible genetic testing, and limited medical education and awareness of the disease, which is in part driven by the previous lack of available disease-modifying treatments. Based on a preliminary U.S. market research study sponsored by us and conducted by a third-party research firm, we believe that the prevalence of WHIM syndrome worldwide is significantly higher than previous registries suggest.</w:t>
      </w:r>
    </w:p>
    <w:p>
      <w:pPr>
        <w:spacing w:after="0" w:line="22" w:lineRule="exact"/>
        <w:rPr>
          <w:sz w:val="20"/>
          <w:szCs w:val="20"/>
          <w:color w:val="auto"/>
        </w:rPr>
      </w:pPr>
    </w:p>
    <w:p>
      <w:pPr>
        <w:ind w:left="640" w:right="400" w:hanging="316"/>
        <w:spacing w:after="0" w:line="257" w:lineRule="auto"/>
        <w:tabs>
          <w:tab w:leader="none" w:pos="635" w:val="left"/>
        </w:tabs>
        <w:numPr>
          <w:ilvl w:val="0"/>
          <w:numId w:val="5"/>
        </w:numPr>
        <w:rPr>
          <w:rFonts w:ascii="Arial" w:cs="Arial" w:eastAsia="Arial" w:hAnsi="Arial"/>
          <w:sz w:val="20"/>
          <w:szCs w:val="20"/>
          <w:color w:val="auto"/>
        </w:rPr>
      </w:pPr>
      <w:r>
        <w:rPr>
          <w:rFonts w:ascii="Times New Roman" w:cs="Times New Roman" w:eastAsia="Times New Roman" w:hAnsi="Times New Roman"/>
          <w:sz w:val="17"/>
          <w:szCs w:val="17"/>
          <w:color w:val="auto"/>
        </w:rPr>
        <w:t>The study solicited input from community-based physicians of different specialties, including physicians focused on non-malignant hematology, immunology, dermatology, pulmonology, and infectious diseases, who are known to manage and/or treat patients with WHIM syndrome.</w:t>
      </w:r>
    </w:p>
    <w:p>
      <w:pPr>
        <w:spacing w:after="0" w:line="21" w:lineRule="exact"/>
        <w:rPr>
          <w:rFonts w:ascii="Arial" w:cs="Arial" w:eastAsia="Arial" w:hAnsi="Arial"/>
          <w:sz w:val="20"/>
          <w:szCs w:val="20"/>
          <w:color w:val="auto"/>
        </w:rPr>
      </w:pPr>
    </w:p>
    <w:p>
      <w:pPr>
        <w:ind w:left="640" w:right="740" w:hanging="316"/>
        <w:spacing w:after="0" w:line="237" w:lineRule="auto"/>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color w:val="auto"/>
        </w:rPr>
        <w:t>The 212 physicians across these specialties identified to participate in this study reported more than 1,700 patients in the United States with genetically confirmed or highly probable WHIM syndrome.</w:t>
      </w:r>
    </w:p>
    <w:p>
      <w:pPr>
        <w:spacing w:after="0" w:line="22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also completed a study using artificial intelligence, interrogating a database of approximately 300 million American lives that included up to 10 years of insurance claims on diagnoses, drug treatments, procedures, and treatment pathways. This study suggested that there may be as many as 3,700 WHIM patients in the United States based on the WHIM-like phenotypes described.</w:t>
      </w:r>
    </w:p>
    <w:p>
      <w:pPr>
        <w:spacing w:after="0" w:line="2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While the costs of managing the chronic impact of WHIM syndrome are unknown, the per-patient cost of treating primary immunodeficiencies that are similar to WHIM syndrome, based on drug costs alone, exceeds $100,000 per year in the United States for therapies such as antibiotics, intravenous immunoglobulin (“IVIg”), subcutaneous immunoglobulin (“SCIg”) and/or injectable G-CSF, despite the limited effectiveness of these treatments. Beyond these estimated direct costs, other costs associated with direct and indirect management of the disease, such as repeated immunization, physician visits, or hospitalizations, have not been quantified but are likely to be significant.</w:t>
      </w:r>
    </w:p>
    <w:p>
      <w:pPr>
        <w:spacing w:after="0" w:line="21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To address the issue of accessible genetic testing related to WHIM syndrome, we sponsor a no-charge genetic testing and counseling program called PATH4WARD for individuals who may carry genetic variations known to be associated with chronic neutropenia or primary immunodeficiency disorders (“PIDs”), including WHIM syndrome.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Commercial Strategy and Marketing Efforts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launched XOLREMDI in the U.S. in May 2024 and are currently marketing the drug through our X4 commercial team. We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right="40"/>
        <w:spacing w:after="0" w:line="274" w:lineRule="auto"/>
        <w:rPr>
          <w:sz w:val="20"/>
          <w:szCs w:val="20"/>
          <w:color w:val="auto"/>
        </w:rPr>
      </w:pPr>
      <w:r>
        <w:rPr>
          <w:rFonts w:ascii="Times New Roman" w:cs="Times New Roman" w:eastAsia="Times New Roman" w:hAnsi="Times New Roman"/>
          <w:sz w:val="18"/>
          <w:szCs w:val="18"/>
          <w:color w:val="auto"/>
        </w:rPr>
        <w:t>deployed a field force of Medical Science Liaisons (“MSLs”), Rare Disease Specialists (“RDSs”), and a nurse educator in the United States to drive education and awareness of WHIM syndrome and its diagnosis.</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We are also hoping to increase awareness of WHIM syndrome among patients, physicians, and their support systems through our partnerships with key patient foundations, including the Jeffrey Modell Foundation, the International Patient Organisation for Primary Immunodeficiencies (“IPOPI”), and the Immune Deficiency Foundation (“IDF”).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further our commitment to helping people with WHIM syndrome access XOLREMDI, we created our X4Connect™ program, which offers eligible U.S.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dedicated support through provision of disease and treatment-related resources, help navigating insurance coverage, and copay assistance.</w:t>
      </w:r>
    </w:p>
    <w:p>
      <w:pPr>
        <w:spacing w:after="0" w:line="224"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color w:val="auto"/>
        </w:rPr>
        <w:t>XOLREMDI is commercially available in the U.S. through our specialty pharmacy partner PANTHERx® Rare, which purchases our labelled drug product and dispenses such drug product to patients pursuant to prescriptions provided by healthcare providers. The specialty pharmacy also serves as our point of contact for inbound health care provider and patient inquiries, prescription processing, insurance investigation, and patient on-boarding.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4WHIM Phase 3 Trial Results</w:t>
      </w:r>
    </w:p>
    <w:p>
      <w:pPr>
        <w:spacing w:after="0" w:line="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U.S. approval of mavorixafor in WHIM syndrome was based on our successfully completed Phase 3 clinical trial, referred to as the 4WHIM trial. 4WHIM was a pivotal, global, randomized, double-blind, placebo-controlled, multicenter Phase 3 clinical trial designed to evaluate the efficacy and safety of mavorixafor in people with genetically confirmed WHIM syndrome. Originally designed to enroll 18-28 patients, the trial enrolled 31 participants aged 12 and older receiving either 200 or 400 mg mavorixafor or placebo orally once daily for 52 weeks; all participants then became eligible to receive treatment with mavorixafor in an open-label trial extension (“OLE”). More than ninety percent of participants opted to enroll in the OLE portion of the trial.</w:t>
      </w:r>
    </w:p>
    <w:p>
      <w:pPr>
        <w:spacing w:after="0" w:line="20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primary endpoint of the 4WHIM trial was a clinically relevant reduction of duration of severe neutropenia as measured by the increase in time above threshold for absolute neutrophil count (“TAT-ANC”), which was defined as the number of hours during which the absolute neutrophil count was raised above a 500 cells per microliter threshold in peripheral blood. Secondary endpoints included time above threshold for absolute lymphocyte count (“TAT-ALC”) of ≥ 1,000 cells per microliter over a 24-hour period, a composite clinical efficacy endpoint for mavorixafor based on total infection score and total wart change score, total wart change score for mavorixafor, total infection score for mavorixafor; and a number of quality-of-life measurements and other exploratory endpoints.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results from the Phase 3 4WHIM trial were as follows:</w:t>
      </w:r>
    </w:p>
    <w:p>
      <w:pPr>
        <w:spacing w:after="0" w:line="16" w:lineRule="exact"/>
        <w:rPr>
          <w:sz w:val="20"/>
          <w:szCs w:val="20"/>
          <w:color w:val="auto"/>
        </w:rPr>
      </w:pPr>
    </w:p>
    <w:p>
      <w:pPr>
        <w:ind w:left="640" w:hanging="316"/>
        <w:spacing w:after="0" w:line="216"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Primary Endpoint: </w:t>
      </w:r>
      <w:r>
        <w:rPr>
          <w:rFonts w:ascii="Times New Roman" w:cs="Times New Roman" w:eastAsia="Times New Roman" w:hAnsi="Times New Roman"/>
          <w:sz w:val="18"/>
          <w:szCs w:val="18"/>
          <w:color w:val="auto"/>
        </w:rPr>
        <w:t>4WHIM met its primary endpoint, with mavorixafor achieving clinical and statistical superiority over placebo (p&lt;0.0001)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measuring the length of time that participants’ ANC remained above a clinically meaningful threshold of 500 cells per microliter (severe neutropenia) over 24-hour periods at 4 time points throughout the 52-week trial.</w:t>
      </w:r>
    </w:p>
    <w:p>
      <w:pPr>
        <w:spacing w:after="0" w:line="32" w:lineRule="exact"/>
        <w:rPr>
          <w:rFonts w:ascii="Arial" w:cs="Arial" w:eastAsia="Arial" w:hAnsi="Arial"/>
          <w:sz w:val="21"/>
          <w:szCs w:val="21"/>
          <w:color w:val="auto"/>
        </w:rPr>
      </w:pPr>
    </w:p>
    <w:p>
      <w:pPr>
        <w:jc w:val="both"/>
        <w:ind w:left="640" w:right="120" w:hanging="316"/>
        <w:spacing w:after="0" w:line="216"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Key Secondary Endpoint: </w:t>
      </w:r>
      <w:r>
        <w:rPr>
          <w:rFonts w:ascii="Times New Roman" w:cs="Times New Roman" w:eastAsia="Times New Roman" w:hAnsi="Times New Roman"/>
          <w:sz w:val="18"/>
          <w:szCs w:val="18"/>
          <w:color w:val="auto"/>
        </w:rPr>
        <w:t>4WHIM also met a key secondary endpoint, with mavorixafor achieving clinical and statistical superiority over placebo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(p&lt;0.0001) when measuring the length of time that participants’ ALC remained above a clinically meaningful threshold of 1,000 cells per microliter (lymphopenia), over 24-hour periods at 4 time points throughout the 52-week trial.</w:t>
      </w:r>
    </w:p>
    <w:p>
      <w:pPr>
        <w:spacing w:after="0" w:line="19" w:lineRule="exact"/>
        <w:rPr>
          <w:rFonts w:ascii="Arial" w:cs="Arial" w:eastAsia="Arial" w:hAnsi="Arial"/>
          <w:sz w:val="21"/>
          <w:szCs w:val="21"/>
          <w:color w:val="auto"/>
        </w:rPr>
      </w:pPr>
    </w:p>
    <w:p>
      <w:pPr>
        <w:ind w:left="640" w:right="160" w:hanging="316"/>
        <w:spacing w:after="0" w:line="216"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Rate of Infections: </w:t>
      </w:r>
      <w:r>
        <w:rPr>
          <w:rFonts w:ascii="Times New Roman" w:cs="Times New Roman" w:eastAsia="Times New Roman" w:hAnsi="Times New Roman"/>
          <w:sz w:val="18"/>
          <w:szCs w:val="18"/>
          <w:color w:val="auto"/>
        </w:rPr>
        <w:t>In the trial, mavorixafor treatment resulted in a statistically significant reduction (~60%) in annualized infection rate versus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 (p&lt;0.01). In addition, the data showed that the reduction was greater with time on treatment, with participants on mavorixafor experiencing less than one infection per year versus 4.5 for those on placebo; during the second 6 months of the trial, the difference also achieved statistical significance (p&lt;0.005).</w:t>
      </w:r>
    </w:p>
    <w:p>
      <w:pPr>
        <w:spacing w:after="0" w:line="18" w:lineRule="exact"/>
        <w:rPr>
          <w:rFonts w:ascii="Arial" w:cs="Arial" w:eastAsia="Arial" w:hAnsi="Arial"/>
          <w:sz w:val="21"/>
          <w:szCs w:val="21"/>
          <w:color w:val="auto"/>
        </w:rPr>
      </w:pPr>
    </w:p>
    <w:p>
      <w:pPr>
        <w:ind w:left="640" w:right="20" w:hanging="316"/>
        <w:spacing w:after="0" w:line="212"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Severity of Infections: </w:t>
      </w:r>
      <w:r>
        <w:rPr>
          <w:rFonts w:ascii="Times New Roman" w:cs="Times New Roman" w:eastAsia="Times New Roman" w:hAnsi="Times New Roman"/>
          <w:sz w:val="18"/>
          <w:szCs w:val="18"/>
          <w:color w:val="auto"/>
        </w:rPr>
        <w:t>During the trial, 29% (5 of 17) of those on placebo experienced Grade 3 or higher infections, whereas only 7% (1 of 14)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on mavorixafor experienced a Grade 3 or higher infection, equating to a 75% reduction in the number of individuals experiencing severe infections. Importantly, the single Grade 3 infection in the mavorixafor treatment arm occurred during the first 3 months of the trial; after 3 months of treatment, there were no serious infections in the mavorixafor-arm, whereas the frequency of severe infections in those on placebo remained unchanged over the 52-week trial period.</w:t>
      </w:r>
    </w:p>
    <w:p>
      <w:pPr>
        <w:spacing w:after="0" w:line="35" w:lineRule="exact"/>
        <w:rPr>
          <w:rFonts w:ascii="Arial" w:cs="Arial" w:eastAsia="Arial" w:hAnsi="Arial"/>
          <w:sz w:val="21"/>
          <w:szCs w:val="21"/>
          <w:color w:val="auto"/>
        </w:rPr>
      </w:pPr>
    </w:p>
    <w:p>
      <w:pPr>
        <w:ind w:left="640" w:right="340" w:hanging="316"/>
        <w:spacing w:after="0" w:line="216" w:lineRule="auto"/>
        <w:tabs>
          <w:tab w:leader="none" w:pos="63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Duration of Infections: </w:t>
      </w:r>
      <w:r>
        <w:rPr>
          <w:rFonts w:ascii="Times New Roman" w:cs="Times New Roman" w:eastAsia="Times New Roman" w:hAnsi="Times New Roman"/>
          <w:sz w:val="18"/>
          <w:szCs w:val="18"/>
          <w:color w:val="auto"/>
        </w:rPr>
        <w:t>In the trial, mavorixafor treatment reduced the total duration (in days) of infections by more than 70%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 with those on placebo experiencing a mean of 7 weeks (49.1 days) with infections over the 52-week trial period versus a mean of only 2 weeks (14.1 days) with infections for those treated with</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mavorixafor.</w:t>
      </w:r>
    </w:p>
    <w:p>
      <w:pPr>
        <w:spacing w:after="0" w:line="20" w:lineRule="exact"/>
        <w:rPr>
          <w:sz w:val="20"/>
          <w:szCs w:val="20"/>
          <w:color w:val="auto"/>
        </w:rPr>
      </w:pPr>
    </w:p>
    <w:p>
      <w:pPr>
        <w:ind w:left="640" w:hanging="316"/>
        <w:spacing w:after="0"/>
        <w:tabs>
          <w:tab w:leader="none" w:pos="640" w:val="left"/>
        </w:tabs>
        <w:numPr>
          <w:ilvl w:val="0"/>
          <w:numId w:val="7"/>
        </w:numPr>
        <w:rPr>
          <w:rFonts w:ascii="Arial" w:cs="Arial" w:eastAsia="Arial" w:hAnsi="Arial"/>
          <w:sz w:val="20"/>
          <w:szCs w:val="20"/>
          <w:color w:val="auto"/>
        </w:rPr>
      </w:pPr>
      <w:r>
        <w:rPr>
          <w:rFonts w:ascii="Times New Roman" w:cs="Times New Roman" w:eastAsia="Times New Roman" w:hAnsi="Times New Roman"/>
          <w:sz w:val="17"/>
          <w:szCs w:val="17"/>
          <w:b w:val="1"/>
          <w:bCs w:val="1"/>
          <w:color w:val="auto"/>
        </w:rPr>
        <w:t xml:space="preserve">Other Infection Metrics: </w:t>
      </w:r>
      <w:r>
        <w:rPr>
          <w:rFonts w:ascii="Times New Roman" w:cs="Times New Roman" w:eastAsia="Times New Roman" w:hAnsi="Times New Roman"/>
          <w:sz w:val="17"/>
          <w:szCs w:val="17"/>
          <w:color w:val="auto"/>
        </w:rPr>
        <w:t>Mavorixafor treatment resulted in a 40% lower total infection score, a metric that combines infection number and severity</w:t>
      </w:r>
    </w:p>
    <w:p>
      <w:pPr>
        <w:ind w:left="640"/>
        <w:spacing w:after="0" w:line="227" w:lineRule="auto"/>
        <w:rPr>
          <w:rFonts w:ascii="Arial" w:cs="Arial" w:eastAsia="Arial" w:hAnsi="Arial"/>
          <w:sz w:val="20"/>
          <w:szCs w:val="20"/>
          <w:color w:val="auto"/>
        </w:rPr>
      </w:pPr>
      <w:r>
        <w:rPr>
          <w:rFonts w:ascii="Times New Roman" w:cs="Times New Roman" w:eastAsia="Times New Roman" w:hAnsi="Times New Roman"/>
          <w:sz w:val="17"/>
          <w:szCs w:val="17"/>
          <w:color w:val="auto"/>
        </w:rPr>
        <w:t>(LS mean [95% CI]: mavorixafor, 7.41 [1.64–13.19]; placebo, 12.27 [7.24–17.30]). Treatment with mavorixafor also resulted in reductions in upper and lower respiratory tract and skin infections compared with those on placebo; participants on placebo required greater medical intervention, with 10 of the 17 participants on placebo requiring treatment with antibiotics over the course of the study, versus 3 of the 14 receiving mavorixafor; and slight improvements in warts were demonstrated both in the mavorixafor and placebo arms (no difference between arms).</w:t>
      </w:r>
    </w:p>
    <w:p>
      <w:pPr>
        <w:spacing w:after="0" w:line="33" w:lineRule="exact"/>
        <w:rPr>
          <w:rFonts w:ascii="Arial" w:cs="Arial" w:eastAsia="Arial" w:hAnsi="Arial"/>
          <w:sz w:val="20"/>
          <w:szCs w:val="20"/>
          <w:color w:val="auto"/>
        </w:rPr>
      </w:pPr>
    </w:p>
    <w:p>
      <w:pPr>
        <w:ind w:left="640" w:right="320" w:hanging="316"/>
        <w:spacing w:after="0" w:line="224" w:lineRule="auto"/>
        <w:tabs>
          <w:tab w:leader="none" w:pos="635" w:val="left"/>
        </w:tabs>
        <w:numPr>
          <w:ilvl w:val="0"/>
          <w:numId w:val="7"/>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Safety and Tolerability: </w:t>
      </w:r>
      <w:r>
        <w:rPr>
          <w:rFonts w:ascii="Times New Roman" w:cs="Times New Roman" w:eastAsia="Times New Roman" w:hAnsi="Times New Roman"/>
          <w:sz w:val="18"/>
          <w:szCs w:val="18"/>
          <w:color w:val="auto"/>
        </w:rPr>
        <w:t>Mavorixafor was generally well tolerated in the 4WHIM trial, with no drug-related serious adverse events, no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toxicities, and no discontinuations due to safety.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Advancing Mavorixafor for WHIM Syndrome Outside of the U.S.</w:t>
      </w:r>
    </w:p>
    <w:p>
      <w:pPr>
        <w:spacing w:after="0" w:line="28"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8"/>
          <w:szCs w:val="18"/>
          <w:color w:val="auto"/>
        </w:rPr>
        <w:t>In January 2025, we announced that our MAA for mavorixafor in the treatment of WHIM syndrome was validated for review and is now under evaluation with the EMA’s Committee for Medicinal Products for Human Use. Following approval in the EU, if received, our partner Norgine, a leading European specialist pharmaceutical company, will be responsible for the commercialization of mavorixafor for the WHIM syndrome indication across the European Union (“EU”).</w:t>
      </w:r>
    </w:p>
    <w:p>
      <w:pPr>
        <w:spacing w:after="0" w:line="2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addition, in December 2024, we announced that we had entered into an agreement with taiba rare for the distribution and commercialization of XOLREMDI for the treatment of WHIM syndrome in select Middle East countries including Saudi Arabia, United Arab Emirates, Qatar, Oman, Kuwait, Bahrain, and Egypt. taiba will lead the distribution, promotion, marketing, and sales of XOLREMDI within the territory, working jointly with X4 on key strategic decisions. Local regulatory filings for XOLREMDI approval will be based on X4’s registration dossier submitted to the FDA. Pending regulatory approvals in the region, taiba rare is expected to be able to provide XOLREMDI to WHIM patients through a named-patient (compassionate use) program that allows physicians to prescribe medicines approved in other countries to local patients when no other treatment options are available.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Developing Mavorixafor in Chronic Neutropenia</w:t>
      </w:r>
    </w:p>
    <w:p>
      <w:pPr>
        <w:spacing w:after="0" w:line="26"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color w:val="auto"/>
        </w:rPr>
        <w:t>Due to its demonstrated ability to durably elevate levels of circulating white blood cells across multiple clinical trials, we believe that mavorixafor may be useful in the treatment of certain forms of chronic neutropenia.</w:t>
      </w:r>
    </w:p>
    <w:p>
      <w:pPr>
        <w:spacing w:after="0" w:line="21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Chronic neutropenia is defined as periods lasting more than three months persistently or intermittently where there are abnormally low levels of neutrophils circulating in the blood, and may be idiopathic (of unknown origin), cyclic (episodes typically occurring every three weeks), or congenital (of genetic causation). Similar to WHIM syndrome, chronic neutropenia disorders are rare blood conditions similarly characterized by increased risks of infections and cancer due to abnormally low levels of neutrophils in the body. In all cases, the CXCL12/CXCR4 pathway is the key regulator of neutrophil release from the bone marrow.</w:t>
      </w:r>
    </w:p>
    <w:p>
      <w:pPr>
        <w:spacing w:after="0" w:line="2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incidence and prevalence of chronic neutropenic disorders are not well established. In December 2022, we presented results from what we believe was the first study examining the prevalence of chronic neutropenia disorders (including idiopathic, cyclic, and congenital neutropenia) in the United States; we believe that determining the estimated projected prevalence of chronic neutropenic disorders is a key step to understanding the extent of existing unmet medical needs in this patient population.</w:t>
      </w:r>
    </w:p>
    <w:p>
      <w:pPr>
        <w:spacing w:after="0" w:line="22" w:lineRule="exact"/>
        <w:rPr>
          <w:sz w:val="20"/>
          <w:szCs w:val="20"/>
          <w:color w:val="auto"/>
        </w:rPr>
      </w:pPr>
    </w:p>
    <w:p>
      <w:pPr>
        <w:ind w:left="640" w:right="80" w:hanging="316"/>
        <w:spacing w:after="0" w:line="250" w:lineRule="auto"/>
        <w:tabs>
          <w:tab w:leader="none" w:pos="635" w:val="left"/>
        </w:tabs>
        <w:numPr>
          <w:ilvl w:val="0"/>
          <w:numId w:val="8"/>
        </w:numPr>
        <w:rPr>
          <w:rFonts w:ascii="Arial" w:cs="Arial" w:eastAsia="Arial" w:hAnsi="Arial"/>
          <w:sz w:val="20"/>
          <w:szCs w:val="20"/>
          <w:color w:val="auto"/>
        </w:rPr>
      </w:pPr>
      <w:r>
        <w:rPr>
          <w:rFonts w:ascii="Times New Roman" w:cs="Times New Roman" w:eastAsia="Times New Roman" w:hAnsi="Times New Roman"/>
          <w:sz w:val="17"/>
          <w:szCs w:val="17"/>
          <w:color w:val="auto"/>
        </w:rPr>
        <w:t>Using a retrospective analysis of a large U.S. claims database, the analysis included people with a diagnosis code for neutropenia during the calendar years 2018, 2019, and 2021 (the year 2020 was excluded from this analysis owing to anticipated reduced claims during the COVID-19 pandemic).</w:t>
      </w:r>
    </w:p>
    <w:p>
      <w:pPr>
        <w:spacing w:after="0" w:line="20" w:lineRule="exact"/>
        <w:rPr>
          <w:rFonts w:ascii="Arial" w:cs="Arial" w:eastAsia="Arial" w:hAnsi="Arial"/>
          <w:sz w:val="20"/>
          <w:szCs w:val="20"/>
          <w:color w:val="auto"/>
        </w:rPr>
      </w:pPr>
    </w:p>
    <w:p>
      <w:pPr>
        <w:ind w:left="640" w:right="500" w:hanging="316"/>
        <w:spacing w:after="0" w:line="239"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People with a diagnostic, procedural, or product code for neutropenia resulting from secondary causes including chemotherapy, drug exposure, infection, solid organ transplantation, myelodysplastic syndrome, and end-stage renal disease within 24-month period prior to selection were excluded.</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A 13- to 24-month look back period prior to index date was used to confirm chronic status.</w:t>
      </w:r>
    </w:p>
    <w:p>
      <w:pPr>
        <w:spacing w:after="0" w:line="33" w:lineRule="exact"/>
        <w:rPr>
          <w:rFonts w:ascii="Arial" w:cs="Arial" w:eastAsia="Arial" w:hAnsi="Arial"/>
          <w:sz w:val="21"/>
          <w:szCs w:val="21"/>
          <w:color w:val="auto"/>
        </w:rPr>
      </w:pPr>
    </w:p>
    <w:p>
      <w:pPr>
        <w:ind w:left="640" w:right="60" w:hanging="316"/>
        <w:spacing w:after="0" w:line="237"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The analysis used longitudinal prescription data and office-based claims data from an IQVIA claims database that included 93% of retail prescription claims, 77% of mail-in prescription claims, and had more than 1.5 billion office-based claims per year.</w:t>
      </w:r>
    </w:p>
    <w:p>
      <w:pPr>
        <w:spacing w:after="0" w:line="20" w:lineRule="exact"/>
        <w:rPr>
          <w:rFonts w:ascii="Arial" w:cs="Arial" w:eastAsia="Arial" w:hAnsi="Arial"/>
          <w:sz w:val="21"/>
          <w:szCs w:val="21"/>
          <w:color w:val="auto"/>
        </w:rPr>
      </w:pPr>
    </w:p>
    <w:p>
      <w:pPr>
        <w:ind w:left="640" w:right="120" w:hanging="316"/>
        <w:spacing w:after="0" w:line="239"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color w:val="auto"/>
        </w:rPr>
        <w:t>This retrospective analysis projected that in 2021, up to 48,000 people in the United States were living with a diagnosis of chronic neutropenia, with the most common type of chronic neutropenic disorder being idiopathic (~40,000), followed by cyclic (~5,000), and congenital (~3,000), and with the majority of affected people being female adults.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8" w:name="page9"/>
    <w:bookmarkEnd w:id="8"/>
    <w:p>
      <w:pPr>
        <w:ind w:left="640" w:right="400" w:hanging="316"/>
        <w:spacing w:after="0" w:line="241" w:lineRule="auto"/>
        <w:tabs>
          <w:tab w:leader="none" w:pos="63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research into the estimated individuals in the U.S. diagnosed with chronic neutropenia confirmed that significant unmet medical needs exist despite the availability and use of G-CSF and, if our analysis is correct, this suggests a potential minimal addressable market for mavorixafor of approximately one third of this population, or approximately 15,000 individuals in the U.S., plus meaningful potential market expansion opportunities.</w:t>
      </w:r>
    </w:p>
    <w:p>
      <w:pPr>
        <w:spacing w:after="0" w:line="2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In 2022, we also completed an electronic medical records study to better understand the risk of serious or severe infection in people with chronic neutropenia in the United States, analyzing the medical records of 44 healthcare organizations treating approximately 66 million patients. The analysis examined patients who had experienced at least two Serious Infections Events (“SIEs”) following documentation of chronic neutropenia in each calendar year compared with those who did not have neutropenia. SIEs are defined as infections requiring hospitalization or intravenous antibiotics or that result in disability or death.</w:t>
      </w:r>
    </w:p>
    <w:p>
      <w:pPr>
        <w:spacing w:after="0" w:line="21" w:lineRule="exact"/>
        <w:rPr>
          <w:sz w:val="20"/>
          <w:szCs w:val="20"/>
          <w:color w:val="auto"/>
        </w:rPr>
      </w:pPr>
    </w:p>
    <w:p>
      <w:pPr>
        <w:jc w:val="both"/>
        <w:ind w:left="640" w:right="260" w:hanging="316"/>
        <w:spacing w:after="0" w:line="239" w:lineRule="auto"/>
        <w:tabs>
          <w:tab w:leader="none" w:pos="63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The results of this analysis indicated that the incidence rate of SIEs per 100,000 person days was increased for all levels of chronic neutropenia: it was two times greater for patients with any chronic neutropenia (ANC less than 1,500 cells per microliter) and four times greater for patients with severe congenital neutropenia (ANC less than 500 cells per microliter).</w:t>
      </w:r>
    </w:p>
    <w:p>
      <w:pPr>
        <w:spacing w:after="0" w:line="12" w:lineRule="exact"/>
        <w:rPr>
          <w:rFonts w:ascii="Arial" w:cs="Arial" w:eastAsia="Arial" w:hAnsi="Arial"/>
          <w:sz w:val="21"/>
          <w:szCs w:val="21"/>
          <w:color w:val="auto"/>
        </w:rPr>
      </w:pPr>
    </w:p>
    <w:p>
      <w:pPr>
        <w:ind w:left="640" w:hanging="316"/>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The risk of serious infection increased with the worsening of neutropenia.</w:t>
      </w:r>
    </w:p>
    <w:p>
      <w:pPr>
        <w:spacing w:after="0" w:line="23" w:lineRule="exact"/>
        <w:rPr>
          <w:rFonts w:ascii="Arial" w:cs="Arial" w:eastAsia="Arial" w:hAnsi="Arial"/>
          <w:sz w:val="21"/>
          <w:szCs w:val="21"/>
          <w:color w:val="auto"/>
        </w:rPr>
      </w:pPr>
    </w:p>
    <w:p>
      <w:pPr>
        <w:ind w:left="640" w:hanging="316"/>
        <w:spacing w:after="0"/>
        <w:tabs>
          <w:tab w:leader="none" w:pos="64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8"/>
          <w:szCs w:val="18"/>
          <w:color w:val="auto"/>
        </w:rPr>
        <w:t>Approximately 25% of patients with chronic neutropenia had at least 2 SIEs in the latest calendar year examined, which was 2019.</w:t>
      </w:r>
    </w:p>
    <w:p>
      <w:pPr>
        <w:spacing w:after="0" w:line="2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People living with chronic neutropenia have few treatment options and may be treated with G-CSF, an injectable therapy approved in the United States for the treatment of severe, chronic neutropenia. G-CSF is used to stimulate bone marrow to produce neutrophils. Side effects of G-CSF include disabling bone pain, which can be more severe in certain age groups. Additional, less common, treatment-limiting complications of chronic G-CSF administration include myelofibrosis and leukemia. In chronic neutropenia cases that are unresponsive to G-CSF, or if leukemia has developed, bone marrow transplants have been made with varying degrees of success. Bone marrow transplantation is often applied to severe neutropenia from bone marrow failure. Bone marrow transplants bring additional risks into the management of the disorders.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to Date for Mavorixafor in Chronic Neutropenic Disorders</w:t>
      </w:r>
    </w:p>
    <w:p>
      <w:pPr>
        <w:spacing w:after="0" w:line="2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In 2022, we conducted a proof-of-concept Phase 1b open-label, multicenter study designed to assess the safety and tolerability of oral mavorixafor, with or without injectable G-CSF, in participants with chronic neutropenic disorders, including idiopathic, cyclic, and congenital neutropenia. Participants received a single dose of 400 mg oral mavorixafor to assess the magnitude of treatment response.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2022, we announced positive results from this Phase 1b clinical trial, which enrolled a total of 25 participants:</w:t>
      </w:r>
    </w:p>
    <w:p>
      <w:pPr>
        <w:spacing w:after="0" w:line="35"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100% of study participants responded to treatment with a single dose of 400 mg of mavorixafor, alone or dosed concurrently with G-CSF:</w:t>
      </w:r>
    </w:p>
    <w:p>
      <w:pPr>
        <w:spacing w:after="0" w:line="13" w:lineRule="exact"/>
        <w:rPr>
          <w:rFonts w:ascii="Arial" w:cs="Arial" w:eastAsia="Arial" w:hAnsi="Arial"/>
          <w:sz w:val="21"/>
          <w:szCs w:val="21"/>
          <w:color w:val="auto"/>
        </w:rPr>
      </w:pPr>
    </w:p>
    <w:p>
      <w:pPr>
        <w:ind w:left="1280" w:hanging="320"/>
        <w:spacing w:after="0" w:line="236" w:lineRule="auto"/>
        <w:tabs>
          <w:tab w:leader="none" w:pos="1280" w:val="left"/>
        </w:tabs>
        <w:numPr>
          <w:ilvl w:val="1"/>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Participants achieved a mean ANC increase at peak of &gt;3,000 cells per microliter.</w:t>
      </w:r>
    </w:p>
    <w:p>
      <w:pPr>
        <w:spacing w:after="0" w:line="14" w:lineRule="exact"/>
        <w:rPr>
          <w:rFonts w:ascii="Arial" w:cs="Arial" w:eastAsia="Arial" w:hAnsi="Arial"/>
          <w:sz w:val="21"/>
          <w:szCs w:val="21"/>
          <w:color w:val="auto"/>
        </w:rPr>
      </w:pPr>
    </w:p>
    <w:p>
      <w:pPr>
        <w:ind w:left="1280" w:hanging="320"/>
        <w:spacing w:after="0" w:line="236" w:lineRule="auto"/>
        <w:tabs>
          <w:tab w:leader="none" w:pos="1280" w:val="left"/>
        </w:tabs>
        <w:numPr>
          <w:ilvl w:val="1"/>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Consistent responses were seen across all of the chronic neutropenic disorders studied – idiopathic, cyclic, and congenital neutropenia.</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All neutropenic participants (n=14) reached normalized ANC levels (&gt;1,500 cells per microliter):</w:t>
      </w:r>
    </w:p>
    <w:p>
      <w:pPr>
        <w:spacing w:after="0" w:line="33" w:lineRule="exact"/>
        <w:rPr>
          <w:rFonts w:ascii="Arial" w:cs="Arial" w:eastAsia="Arial" w:hAnsi="Arial"/>
          <w:sz w:val="21"/>
          <w:szCs w:val="21"/>
          <w:color w:val="auto"/>
        </w:rPr>
      </w:pPr>
    </w:p>
    <w:p>
      <w:pPr>
        <w:ind w:left="1280" w:right="120" w:hanging="320"/>
        <w:spacing w:after="0" w:line="239" w:lineRule="auto"/>
        <w:tabs>
          <w:tab w:leader="none" w:pos="1276" w:val="left"/>
        </w:tabs>
        <w:numPr>
          <w:ilvl w:val="1"/>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When assessed as a monotherapy in participants with severe chronic neutropenia who were not being treated with G-CSF (n=6), a single dose of mavorixafor led to normalized ANC levels in all participants within 2 hours, with a mean ANC increase at peak of ~2,500 cells per microliter.</w:t>
      </w:r>
    </w:p>
    <w:p>
      <w:pPr>
        <w:spacing w:after="0" w:line="23" w:lineRule="exact"/>
        <w:rPr>
          <w:rFonts w:ascii="Arial" w:cs="Arial" w:eastAsia="Arial" w:hAnsi="Arial"/>
          <w:sz w:val="21"/>
          <w:szCs w:val="21"/>
          <w:color w:val="auto"/>
        </w:rPr>
      </w:pPr>
    </w:p>
    <w:p>
      <w:pPr>
        <w:jc w:val="both"/>
        <w:ind w:left="1280" w:hanging="320"/>
        <w:spacing w:after="0" w:line="239" w:lineRule="auto"/>
        <w:tabs>
          <w:tab w:leader="none" w:pos="1276" w:val="left"/>
        </w:tabs>
        <w:numPr>
          <w:ilvl w:val="1"/>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When assessed in participants with moderate or severe neutropenia despite being treated with G-CSF (n=8), 100% reached normalized ANC levels, suggesting the potential of mavorixafor to both normalize the neutrophil counts in patients with partial response to G-CSF and also to potentially enable the reduction or elimination of G-CSF dosing.</w:t>
      </w:r>
    </w:p>
    <w:p>
      <w:pPr>
        <w:spacing w:after="0" w:line="23" w:lineRule="exact"/>
        <w:rPr>
          <w:rFonts w:ascii="Arial" w:cs="Arial" w:eastAsia="Arial" w:hAnsi="Arial"/>
          <w:sz w:val="21"/>
          <w:szCs w:val="21"/>
          <w:color w:val="auto"/>
        </w:rPr>
      </w:pPr>
    </w:p>
    <w:p>
      <w:pPr>
        <w:ind w:left="640" w:right="400" w:hanging="316"/>
        <w:spacing w:after="0" w:line="250" w:lineRule="auto"/>
        <w:tabs>
          <w:tab w:leader="none" w:pos="635"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7"/>
          <w:szCs w:val="17"/>
          <w:color w:val="auto"/>
        </w:rPr>
        <w:t>When assessed in participants with chronic neutropenia with normalized ANC counts on chronic G-CSF (n=11), all participants experienced a consistent and sustained increase in ANC, suggesting mavorixafor’s potential to reduce or possibly eliminate G-CSF treatment in these patients.</w:t>
      </w:r>
    </w:p>
    <w:p>
      <w:pPr>
        <w:spacing w:after="0" w:line="10" w:lineRule="exact"/>
        <w:rPr>
          <w:rFonts w:ascii="Arial" w:cs="Arial" w:eastAsia="Arial" w:hAnsi="Arial"/>
          <w:sz w:val="20"/>
          <w:szCs w:val="20"/>
          <w:color w:val="auto"/>
        </w:rPr>
      </w:pPr>
    </w:p>
    <w:p>
      <w:pPr>
        <w:ind w:left="640" w:hanging="316"/>
        <w:spacing w:after="0"/>
        <w:tabs>
          <w:tab w:leader="none" w:pos="64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8"/>
          <w:szCs w:val="18"/>
          <w:color w:val="auto"/>
        </w:rPr>
        <w:t>Mavorixafor was well tolerated in the study; all treatment-related adverse events were deemed to be low grade,</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33" w:right="35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consistent with previous clinical studies in WHIM syndrome, and no treatment-related serious adverse events were reported.</w:t>
      </w:r>
    </w:p>
    <w:p>
      <w:pPr>
        <w:spacing w:after="0" w:line="24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7"/>
          <w:szCs w:val="17"/>
          <w:color w:val="auto"/>
        </w:rPr>
        <w:t>Following these positive results, an amendment to the Phase 1b clinical trial was initiated aiming to evaluate the use of daily oral mavorixafor with or without injectable G-CSF for up to 6 months in participants with chronic neutropenic disorders as a Phase 2 clinical trial. The completed Phase 2 study of mavorixafor was a six-month, open-label clinical trial that enrolled a total of 23 participants diagnosed with idiopathic, congenital, or cyclic chronic neutropenia.</w:t>
      </w:r>
    </w:p>
    <w:p>
      <w:pPr>
        <w:spacing w:after="0" w:line="18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Phase 2 study results below are from the two study treatment groups: mavorixafor monotherapy (n = 10 at baseline) and mavorixafor in combination with injectable G-CSF (n=13 at baseline).</w:t>
      </w:r>
    </w:p>
    <w:p>
      <w:pPr>
        <w:spacing w:after="0" w:line="20" w:lineRule="exact"/>
        <w:rPr>
          <w:sz w:val="20"/>
          <w:szCs w:val="20"/>
          <w:color w:val="auto"/>
        </w:rPr>
      </w:pPr>
    </w:p>
    <w:p>
      <w:pPr>
        <w:ind w:left="640" w:right="100" w:hanging="316"/>
        <w:spacing w:after="0" w:line="237"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Mavorixafor monotherapy</w:t>
      </w:r>
      <w:r>
        <w:rPr>
          <w:rFonts w:ascii="Times New Roman" w:cs="Times New Roman" w:eastAsia="Times New Roman" w:hAnsi="Times New Roman"/>
          <w:sz w:val="18"/>
          <w:szCs w:val="18"/>
          <w:color w:val="auto"/>
        </w:rPr>
        <w:t>: Consistent with previously presented analyses, results from participants receiving mavorixafor monotherapy showed that mavorixafor durably increased mean ANC from baseline, with mean ANC reaching normal levels at Month 3 (n=9) and Month 6 (n=8).</w:t>
      </w:r>
    </w:p>
    <w:p>
      <w:pPr>
        <w:ind w:left="1280" w:right="240" w:hanging="320"/>
        <w:spacing w:after="0" w:line="245" w:lineRule="auto"/>
        <w:tabs>
          <w:tab w:leader="none" w:pos="12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analysis showed that those with severe CN achieved clinically meaningful increases in mean ANC levels out to six months (n=4), reaching levels typically targeted by physicians for patients with severe CN.</w:t>
      </w:r>
    </w:p>
    <w:p>
      <w:pPr>
        <w:spacing w:after="0" w:line="21" w:lineRule="exact"/>
        <w:rPr>
          <w:rFonts w:ascii="Times New Roman" w:cs="Times New Roman" w:eastAsia="Times New Roman" w:hAnsi="Times New Roman"/>
          <w:sz w:val="18"/>
          <w:szCs w:val="18"/>
          <w:color w:val="auto"/>
        </w:rPr>
      </w:pPr>
    </w:p>
    <w:p>
      <w:pPr>
        <w:ind w:left="640" w:right="40" w:hanging="316"/>
        <w:spacing w:after="0" w:line="250" w:lineRule="auto"/>
        <w:tabs>
          <w:tab w:leader="none" w:pos="635"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7"/>
          <w:szCs w:val="17"/>
          <w:u w:val="single" w:color="auto"/>
          <w:color w:val="auto"/>
        </w:rPr>
        <w:t>Mavorixafor in combination with injectable G-CSF</w:t>
      </w:r>
      <w:r>
        <w:rPr>
          <w:rFonts w:ascii="Times New Roman" w:cs="Times New Roman" w:eastAsia="Times New Roman" w:hAnsi="Times New Roman"/>
          <w:sz w:val="17"/>
          <w:szCs w:val="17"/>
          <w:color w:val="auto"/>
        </w:rPr>
        <w:t>: In the study, physicians chose to reduce G-CSF dosing in nine of 12 (75%) eligible participants. Of those nine, eight had G-CSF reduced at the earliest timepoint permitted and three were taken completely off of G-CSF prior to their Month 6 visit.</w:t>
      </w:r>
    </w:p>
    <w:p>
      <w:pPr>
        <w:ind w:left="1280" w:hanging="320"/>
        <w:spacing w:after="0"/>
        <w:tabs>
          <w:tab w:leader="none" w:pos="12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Mean reductions in G-CSF were 52% at Month 3 (n=8) and 70% at Month 6 (n=9), while mean ANC levels remained in the normal range.</w:t>
      </w:r>
    </w:p>
    <w:p>
      <w:pPr>
        <w:spacing w:after="0" w:line="16" w:lineRule="exact"/>
        <w:rPr>
          <w:rFonts w:ascii="Times New Roman" w:cs="Times New Roman" w:eastAsia="Times New Roman" w:hAnsi="Times New Roman"/>
          <w:sz w:val="17"/>
          <w:szCs w:val="17"/>
          <w:color w:val="auto"/>
        </w:rPr>
      </w:pPr>
    </w:p>
    <w:p>
      <w:pPr>
        <w:ind w:left="1280" w:right="180" w:hanging="320"/>
        <w:spacing w:after="0" w:line="245" w:lineRule="auto"/>
        <w:tabs>
          <w:tab w:leader="none" w:pos="12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participants receiving mavorixafor who remained on stable doses of G-CSF maintained mean ANC levels in the normal range at all timepoints.</w:t>
      </w:r>
    </w:p>
    <w:p>
      <w:pPr>
        <w:spacing w:after="0" w:line="21" w:lineRule="exact"/>
        <w:rPr>
          <w:rFonts w:ascii="Times New Roman" w:cs="Times New Roman" w:eastAsia="Times New Roman" w:hAnsi="Times New Roman"/>
          <w:sz w:val="18"/>
          <w:szCs w:val="18"/>
          <w:color w:val="auto"/>
        </w:rPr>
      </w:pPr>
    </w:p>
    <w:p>
      <w:pPr>
        <w:ind w:left="640" w:right="200" w:hanging="316"/>
        <w:spacing w:after="0" w:line="249" w:lineRule="auto"/>
        <w:tabs>
          <w:tab w:leader="none" w:pos="635"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Safety summary</w:t>
      </w:r>
      <w:r>
        <w:rPr>
          <w:rFonts w:ascii="Times New Roman" w:cs="Times New Roman" w:eastAsia="Times New Roman" w:hAnsi="Times New Roman"/>
          <w:sz w:val="18"/>
          <w:szCs w:val="18"/>
          <w:color w:val="auto"/>
        </w:rPr>
        <w:t>: Mavorixafor was generally well tolerated as a monotherapy and in combination with G-CSF, with no drug-related serious adverse events reported, consistent with previous clinical studies.</w:t>
      </w:r>
    </w:p>
    <w:p>
      <w:pPr>
        <w:spacing w:after="0" w:line="21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In addition, during the Phase 2 clinical trial, we conducted a sub-study comparing the mean percentage of functional neutrophils in samples from healthy donors (n=5) to participants in the Phase 2 study (n=9) using two common study methods. These results demonstrated that the mean percentage of functional</w:t>
      </w:r>
    </w:p>
    <w:p>
      <w:pPr>
        <w:spacing w:after="0" w:line="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circulating neutrophils in CN participants in this sub-study was comparable to that of healthy donors after six months of mavorixafor dosing. This was the first clinical demonstration that the neutrophils mobilized by mavorixafor are fully functional.</w:t>
      </w:r>
    </w:p>
    <w:p>
      <w:pPr>
        <w:spacing w:after="0" w:line="19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are currently conducting a pivotal Phase 3 clinical trial of mavorixafor in people with certain chronic neutropenic disorders (the 4WARD study). The Phase 3 trial is a global, randomized, double-blinded, placebo-controlled trial assessing the safety and efficacy of once-daily oral mavorixafor, with or without stable doses of G-CSF, in people with idiopathic or congenital, acquired primary autoimmune, or idiopathic chronic neutropenia who are experiencing recurrent and/or serious infections. The 52-week trial is expected to enroll 150 participants aged 12 years and older with both an ANC less than 1,500 cells per microliter and 2 or more infections requiring intervention during the 12 months preceding the trial. The primary endpoint of the trial is a two-component endpoint that includes the annualized infection rate and ANC response in the mavorixafor-treated group versus the placebo group. Key secondary endpoints are expected to include analysis of the severity and duration of infections, antibiotic use, fatigue, and quality of life parameters.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Pipeline Candidates</w:t>
      </w:r>
    </w:p>
    <w:p>
      <w:pPr>
        <w:spacing w:after="0" w:line="2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We have also developed two pre-clinical candidates: X4P-003, a second-generation CXCR4 antagonist designed to have enhanced properties relative to mavorixafor, potentially enabling broader opportunities in CXCR4-dependent disorders and primary immunodeficiencies; and X4P-002, a CXCR4 antagonist with a unique distribution profile and a demonstrated ability to cross the blood-brain barrier. In accordance with our 2025 Restructuring (as defined below), these programs are currently paused.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6" w:lineRule="exact"/>
        <w:rPr>
          <w:sz w:val="20"/>
          <w:szCs w:val="20"/>
          <w:color w:val="auto"/>
        </w:rPr>
      </w:pPr>
    </w:p>
    <w:p>
      <w:pPr>
        <w:ind w:right="680"/>
        <w:spacing w:after="0" w:line="251"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We face potential competition from many different sources, including major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0" w:name="page11"/>
    <w:bookmarkEnd w:id="10"/>
    <w:p>
      <w:pPr>
        <w:spacing w:after="0" w:line="259" w:lineRule="auto"/>
        <w:rPr>
          <w:sz w:val="20"/>
          <w:szCs w:val="20"/>
          <w:color w:val="auto"/>
        </w:rPr>
      </w:pPr>
      <w:r>
        <w:rPr>
          <w:rFonts w:ascii="Times New Roman" w:cs="Times New Roman" w:eastAsia="Times New Roman" w:hAnsi="Times New Roman"/>
          <w:sz w:val="18"/>
          <w:szCs w:val="18"/>
          <w:color w:val="auto"/>
        </w:rPr>
        <w:t>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Many of our competitors may have significantly greater financial resources and expertise in research and development, manufacturing, preclinical testing, conducting clinical trials, obtaining regulatory approvals, and marketing approved products than we do. Other firms also compete with us in recruiting and retaining qualified scientific and management personnel and establishing clinical trial sites and patient enrollment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to us, particularly through collaborative arrangements with large and established companies.</w:t>
      </w:r>
    </w:p>
    <w:p>
      <w:pPr>
        <w:spacing w:after="0" w:line="21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therapeutics that are safer, more effective, have fewer or less severe side effects, are more convenient or are less expensive than any products that we may develop. Our competitors also may obtain marketing approvals for their products more rapidly than we may obtain approval for our products, which could result in our competitors establishing a strong market position before we are able to enter the market. In addition, our ability to compete may be affected because in some cases insurers or other third-party payors, including government programs, seek to encourage the use of generic products. This may have the effect of making branded products less attractive to buyers from a cost perspective.</w:t>
      </w:r>
    </w:p>
    <w:p>
      <w:pPr>
        <w:spacing w:after="0" w:line="21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We are aware of other companies that are developing injectable CXCR4 inhibitors. However, we are not aware of any companies with CXCR4 antagonist programs in development for the indications of WHIM syndrome or chronic neutropenia. With regard to chronic neutropenia, we are not aware of any companies who are developing an oral therapy to elevate neutrophils in the blood. Filgrastim injections (human G-CSF) and two biosimilars (Zarxio and Nivestym) are FDA approved to reduce the incidence and duration of after-effects of severe neutropenia (e.g. fever, infections, oropharyngeal ulcers) in symptomatic patients with severe neutropenia.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6"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manufacturing facilities for the production of clinical or commercial quantities of mavorixafor or any of our other product candidates. We currently rely on and expect to continue to rely on, third parties for the manufacture of any of our product or product candidates.</w:t>
      </w:r>
    </w:p>
    <w:p>
      <w:pPr>
        <w:spacing w:after="0" w:line="25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We currently have a master services agreement, as amended from time to time, and a commercial supply agreement with Evotec A.G. (“Evotec,” previously known as Aptuit, Oxford), pursuant to which Evotec manufactures the active pharmaceutical ingredient (“API”) mavorixafor for use in our clinical and commercial supply.</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have a master services agreement in place with Catalent Inc. (“Catalent”), which is our sole manufacturer for the final capsule drug product formulation of mavorixafor. The term of the master services agreement with Catalent expires on December 31, 2028 and may be terminated by (1) us upon 30 days-notice to Catalent or (2) by either party following a material breach by the other party that remains uncured for 30 days. We have entered into a commercial supply agreement with Catalent to support our global WHIM launch.</w:t>
      </w:r>
    </w:p>
    <w:p>
      <w:pPr>
        <w:spacing w:after="0" w:line="20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We obtain clinical and commercial supplies from Evotec and Catalent pursuant to typical industry-standard commercial and clinical supply agreements. We believe that both manufacturers have the capability and capacity to manufacture currently projected clinical trial supply and commercial volumes of mavorixafor.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Genzyme</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July 2014, we entered into a license agreement with Genzyme Corporation (“Genzyme”), a wholly owned subsidiary of Sanofi, pursuant to which we were granted an exclusive license to certain patent applications and other intellectual property owned or controlled by Genzyme related to the CXCR4 receptor to develop and commercialize products containing licensed compounds, including but not limited to, mavorixafor. Genzyme has retained the non-exclusive right to conduct preclinical research involving</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3" w:right="399" w:bottom="1440" w:gutter="0" w:footer="0" w:header="0"/>
        </w:sectPr>
      </w:pPr>
    </w:p>
    <w:bookmarkStart w:id="11" w:name="page12"/>
    <w:bookmarkEnd w:id="11"/>
    <w:p>
      <w:pPr>
        <w:ind w:right="380"/>
        <w:spacing w:after="0" w:line="259" w:lineRule="auto"/>
        <w:rPr>
          <w:sz w:val="20"/>
          <w:szCs w:val="20"/>
          <w:color w:val="auto"/>
        </w:rPr>
      </w:pPr>
      <w:r>
        <w:rPr>
          <w:rFonts w:ascii="Times New Roman" w:cs="Times New Roman" w:eastAsia="Times New Roman" w:hAnsi="Times New Roman"/>
          <w:sz w:val="18"/>
          <w:szCs w:val="18"/>
          <w:color w:val="auto"/>
        </w:rPr>
        <w:t>compounds in any field, including any fields licensed to us, but has not retained rights to conduct any clinical development or commercialization of those compounds identified in the agreement in any of the fields licensed to us. We are primarily responsible for the preparation, filing, prosecution, and maintenance of all patent applications and patents covering the intellectual property licensed to us under the agreement at our sole expense.</w:t>
      </w:r>
    </w:p>
    <w:p>
      <w:pPr>
        <w:spacing w:after="0" w:line="20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We are obligated to use commercially reasonable efforts to develop and commercialize licensed products for use in the field in the United States and at least one other major market country. We have the right to grant sublicenses of the licensed rights that cover mavorixafor to third parties. If we wish to grant a sublicense to any licensed product other than mavorixafor, we are obligated to first offer the sublicense to Genzyme. If Genzyme expresses written interest for the sublicense, then we will negotiate exclusively with Genzyme for a certain stated period to obtain a license to such rights, after which Genzyme shall have no further rights with respect to such licensed product and we will be free to negotiate a sublicense with respect to such licensed product with any third party.</w:t>
      </w:r>
    </w:p>
    <w:p>
      <w:pPr>
        <w:spacing w:after="0" w:line="19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During 2024, we achieved a regulatory milestone: the approval by the FDA of our first NDA, for which $7.0 million has been paid. As of December 31, 2024, we are obligated to pay Genzyme future milestone payments in the aggregate amount of up to $13.0 million, contingent upon our achievement of certain late-stage regulatory and sales milestones with respect to licensed products, and tiered royalties based on net sales of licensed products that we commercialize under the Genzyme agreement. In January 2025, we achieved a regulatory milestone of $3.0 million, which was triggered upon notification of the acceptance by the EMA of our first drug application. Such regulatory milestone was paid in March 2025. The remaining regulatory milestone of $5.0 million is triggered upon the notification by the EMA of regulatory approval of our first drug application. We must also make one-time sales milestone payments of $0.5 million, $1.5 million and $3.0 million upon achieving cumulative net sales of $50 million, $150 million and $300 million, respectively. Upon the first potential sale of our drug candidate in the U.S., we have incurred a royalty on annual net sales at a rate of 6% up to $150 million, and would incur 10% on the portion of annual net sales between $150 million and $300 million, and 12% thereafter. We also incur royalties for certain sublicense fees that we earn from sublicensees of intellectual property (“IP”) that we license from Genzyme. For example, in January 2025 we entered into an exclusive licensing and supply agreement with Norgine whereby we sublicensed intellectual property, including IP that we license from Genzyme. Upon closing of the agreement, Norgine paid us a one-time, nonrefundable fee of €28.5 million for the transfer of such IP. Under our Genzyme agreement we owe a 15% royalty on this upfront payment and certain other regulatory and sales-based milestones that we earn under the Norgine license and supply agreement.</w:t>
      </w:r>
    </w:p>
    <w:p>
      <w:pPr>
        <w:spacing w:after="0" w:line="2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obligation to pay royalties for each licensed product expires on a country-by-country basis on the latest of (i) the expiration of licensed patent rights that cover that licensed product in that country, (ii) the expiration of regulatory exclusivity in that country and (iii) ten years after the first commercial sale of such licensed product in that country. Royalty rates are subject to reduction under the agreement in specified circumstances, including in any country if we are required to obtain a license from any third party to the extent our patent rights might infringe the third party’s patent rights, if a licensed product is not covered by a valid claim in that country, or if sales of generic products reach certain thresholds in that country. Sublicenses that we enter into under the Genzyme agreement obligate us to pay Genzyme a percentage of certain upfront, maintenance fees, milestone payments and royalty payments paid to us by the sublicensee.</w:t>
      </w:r>
    </w:p>
    <w:p>
      <w:pPr>
        <w:spacing w:after="0" w:line="2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term of the Genzyme Agreement will continue until the later of the expiration of the last-to-expire valid claim of the patents licensed under the agreement that cover any licensed product, the expiration of regulatory exclusivity applicable to any licensed product, and 10 years from the date of first commercial sale of any licensed product. Either we or Genzyme may terminate the Genzyme Agreement in the event of the bankruptcy or uncured material breach by the other party. Genzyme may terminate the Genzyme Agreement if we or our affiliates initiate a patent challenge of the patents licensed under the agreement. We may terminate the Genzyme Agreement immediately upon notice to Genzyme if we reasonably believe that the development or commercialization of a licensed compound or product under the Genzyme agreement would result in a material safety issue for patients.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Georgetown University</w:t>
      </w:r>
    </w:p>
    <w:p>
      <w:pPr>
        <w:spacing w:after="0" w:line="2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 December 2016, we entered into a license agreement with Georgetown University (“Georgetown”) pursuant to which we obtained an exclusive, worldwide license to practice certain methods, and to make, have made, use, sell, offer for sale or import products, covered by licensed patent rights co-owned by Georgetown. The rights licensed to us are for all therapeutic, prophylactic, and diagnostic uses in all disease indications in humans and animals. We have the right to grant sublicenses of the licensed rights to third parties to the extent consistent with the terms of the Georgetown agreement.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t>Under the terms of the Georgetown agreement, we paid a one-time-only, upfront fee of $50 thousand, and we may be required to pay milestone payments of up to an aggregate of $800 thousand related to commercial sales of a licensed product. We are responsible for all patent prosecution costs incurred with respect to the licensed patents. We are obligated under the agreement to use commercially reasonable efforts to develop and commercialize licensed product, to make licensed product reasonably available to the public, to obtain government approvals for licensed product and to market licensed product in quantities sufficient to meet the market demand.</w:t>
      </w:r>
    </w:p>
    <w:p>
      <w:pPr>
        <w:spacing w:after="0" w:line="21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term of the Georgetown agreement will continue until the expiration of the last valid claim within the patent rights covering the licensed products. Georgetown may terminate the Georgetown agreement or convert our license to non-exclusive in the event: (i) we fail to pay any amount and fail to cure such failure within 30 days after receipt of notice, (ii) we default in our obligation to obtain and maintain insurance and fail to remedy such breach within 45 days after receipt of notice, (iii) we declare insolvency or bankruptcy or (iv) we materially default in the performance of any material obligations under the Georgetown agreement that is not cured within a certain period from the date of written notice of such default. We may terminate the Georgetown agreement at any time upon at least 60 days’ written notice.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Beth Israel Deaconess Medical Center</w:t>
      </w:r>
    </w:p>
    <w:p>
      <w:pPr>
        <w:spacing w:after="0" w:line="2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December 2016, we entered into a license agreement with Beth Israel Deaconess Medical Center (“BIDMC”) pursuant to which we obtained an exclusive, worldwide license to make, have made, use, sell, offer for sale, and import of licensed products and certain processes covered by licensed patent rights co-owned by BIDMC and a nonexclusive royalty-free right to use certain information pertaining to any invention claimed in the licensed patents that is owned by BIDMC to develop, make, have made, use, have used, sell, have sold, and commercialize such licensed products and processes. The rights licensed to us are for all fields of use. We have the right to grant sublicenses of the licensed rights to third parties to the extent consistent with the terms of the BIDMC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terms of the BIDMC agreement we paid a one-time-only, upfront fee of $20 thousand and we are responsible for all future patent prosecution costs.</w:t>
      </w:r>
    </w:p>
    <w:p>
      <w:pPr>
        <w:spacing w:after="0" w:line="25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term of the BIDMC agreement will continue until the expiration of the last valid claim within the patent rights covering the licensed product. BIDMC may terminate the agreement in the event: (i) we fail to pay any amount and fail to cure such failure within 15 days after receipt of notice, (ii) the insurance coverage that we are obligated to maintain under the agreement is terminated and we fail to obtain replacement insurance within a certain period of time following notice to BIDMC, or (iii) we declare insolvency or bankruptcy. In addition, if we are in material breach of any material provisions of the BIDMC agreement and fail to remedy such breach within 60 days after receipt of notice, BIDMC may terminate the BIDMC agreement or terminate any licenses granted under the BIDMC agreement with respect to the country or countries in which such material breach has occurred. We may terminate the BIDMC agreement at any time upon at least 90 days’ written notice.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Abbisko Agreement</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July 2019, we entered into a license agreement with Abbisko Therapeutics Co Ltd. (“Abbisko”). Under the terms of the agreement, we granted Abbisko the exclusive right to develop, manufacture and commercialize mavorixafor in mainland China, Taiwan, Hong Kong and Macau. The agreement provides Abbisko with the exclusive rights in this territory to develop and commercialize mavorixafor in combination with checkpoint inhibitors or other agents in oncology indications. Pancreatic cancer, ovarian cancer and triple negative breast cancer are expected to be explored initially. We retain the full rest-of-world rights to develop and commercialize mavorixafor outside of Greater China for all indications and the ability to utilize data generated pursuant to the Abbisko collaboration for rest-of-world development. In addition, Abbisko has the right of first refusal if we determine to pursue additional products in the Abbisko Territory, as defined in the agreement. We entered into a separate agreement in April 2020 whereby we will provide Abbisko with a clinical supply and, if the product is commercialized in the territory licensed by Abbisko, we intend to enter into a commercial supply of the licensed compound.</w:t>
      </w:r>
    </w:p>
    <w:p>
      <w:pPr>
        <w:spacing w:after="0" w:line="218"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Pursuant to the agreement with Abbisko, upon the closing of a qualified financing of Abbisko, as defined in the agreement, which occurred in March 2020, Abbisko made a one-time, non-refundable, non-creditable financial milestone payment of $3 million to us. We are also eligible to receive potential development, regulatory and commercial milestone payments of up to $214.0 million, which will vary based on the ultimate sales, if any, of the approved licensed products. Upon commercialization of mavorixafor in the Abbisko Territory, we are eligible to receive a tiered royalty, with a percentage range in the low double-digits, on net sales of approved licensed products. Abbisko is obligated to use commercially reasonable efforts to develop and commercialize mavorixafor in the Abbisko Territory. Abbisko has responsibility for all activities and costs associated with the further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development, manufacture and commercialization of mavorixafor in the Abbisko Territory.</w:t>
      </w:r>
    </w:p>
    <w:p>
      <w:pPr>
        <w:spacing w:after="0" w:line="24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Subject to customary rights of each party to earlier terminate the agreement, the term of the agreement is until the expiration of the royalty term on a region-by-region basis. Upon expiration (but not early termination) of the agreement, on a region-by-region basis, the licenses granted by X4 to Abbisko shall become fully paid-up, royalty free, irrevocable and perpetual. In the event</w:t>
      </w:r>
    </w:p>
    <w:p>
      <w:pPr>
        <w:spacing w:after="0" w:line="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for any reason (a) the parties have not entered into a manufacturing technology transfer agreement, or (b) the completion of the manufacturing technology transfer contemplated therein is not completed, in each case at least six (6) months prior to the expiration of this Agreement in its entirety, then X4 shall either</w:t>
      </w:r>
    </w:p>
    <w:p>
      <w:pPr>
        <w:spacing w:after="0" w:line="1" w:lineRule="exact"/>
        <w:rPr>
          <w:sz w:val="20"/>
          <w:szCs w:val="20"/>
          <w:color w:val="auto"/>
        </w:rPr>
      </w:pPr>
    </w:p>
    <w:p>
      <w:pPr>
        <w:ind w:right="180" w:firstLine="6"/>
        <w:spacing w:after="0" w:line="249" w:lineRule="auto"/>
        <w:tabs>
          <w:tab w:leader="none" w:pos="2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itself or through its affiliates or contract manufacturing organization for the licensed product provide commercial supply of such licensed product in the Abbisko territory to Abbisko after the Term (including, upon Abbisko’s request, commercial supply by a China contract manufacturing organization in mainland China) on the same terms as in the agreement or as otherwise negotiated in good faith and agreed upon by the parties, until the date that X4 or its affiliate or contract manufacturing organization completes the manufacturing technology transfer under clause (ii); or (ii) to the extent permitted under the upstream agreement, provide, or use commercially reasonable efforts to cause its affiliate or contract manufacturing organization to provide, the manufacturing technology transfer to Abbisko or a contract manufacturing organization designated by Abbisko at Abbisko’s cost; provided that, in any case X4’s obligations with respect to mainland China shall survive the expiration of the agreement for so long as X4 is the legal holder of the regulatory approval for such licensed product in mainland China.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Norgine Agreement</w:t>
      </w:r>
    </w:p>
    <w:p>
      <w:pPr>
        <w:spacing w:after="0" w:line="2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On January 13, 2025, we entered into a license and supply agreement with Norgine. Under the terms of the agreement, we granted Norgine the exclusive right to develop, manufacture and commercialize mavorixafor in Europe, Australia, and New Zealand. The agreement grants Norgine an exclusive license to (i) distribute, market and sell the our product mavorixafor for all indications in the European Economic Area, Switzerland, the United Kingdom, Australia and New Zealand (collectively, the “Territory”), following regulatory approval. Additionally, Norgine was granted a co-exclusive license to manufacture mavorixafor for the Territory within the field. The Company retains all rights to mavorixafor outside the Territory and specific reserved rights within the Territory. Norgine may grant sublicenses to its affiliates and certain third parties subject to the terms of the agreement, except that it may not sublicense the commercial rights granted under the agreement for certain countries without our explicit consent.</w:t>
      </w:r>
    </w:p>
    <w:p>
      <w:pPr>
        <w:spacing w:after="0" w:line="2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Pursuant to the terms of the Norgine Agreement, we shall receive the following payments from Norgine: (i) an upfront payment in the amount of €28.5 million (such payment was received in January 2025), (ii) up to €226.0 million upon the achievement of certain regulatory, commercial and sales milestones, and (iii) escalating double-digit royalties of up to mid-twenties on any future net sales in the Territory. The tiered royalty payments are subject to royalty stacking, and to a material reduction on a country-by-country basis if a generic version of mavorixafor becomes available in the applicable country. We and Norgine will collaborate closely on regulatory filings, while we continue to be responsible for the ongoing global, pivotal Phase 3 4WARD clinical trial evaluating mavorixafor in chronic neuropathy. Norgine will be responsible for all market access and commercialization activities and will eventually hold all marketing authorizations in the licensed territories. We will manufacture and supply mavorixafor to Norgine. Norgine shall be required to pay a supply price for the licensed product derived from the contract manufacturing organization costs plus a low double-teen digit of the contract manufacturing costs.</w:t>
      </w:r>
    </w:p>
    <w:p>
      <w:pPr>
        <w:spacing w:after="0" w:line="20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customary rights of each party to earlier terminate the agreement, the term of the agreement continues, on a country-by-country basis, until the later of: (i) the tenth (10th) anniversary of the first commercial sale of mavorixafor, (ii) expiration of regulatory market exclusivity of mavorixafor or (iii) expiration of the last-to-expire licensed patent in such country. The term of the agreement shall be automatically renewed for additional three year terms unless either party provides the other party written notice of its intent not to renew the Agreement at least one year prior to the applicable termination date of the agreement. In the event of automatic renewal, the royalty payment rate drops to a single digit royalty.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ability to commercialize our product candidates depends in large part on our ability to obtain and maintain intellectual property protection for our product candidates, including mavorixafor, and our preclinical compounds and core technologies. Our policy is to seek to protect our intellectual property position by, among other methods, filing U.S. and foreign patent applications related to the technology, inventions and improvements that are important to the development and implementation of our business strategy. We also rely on trade secrets, know-how and continuing technological innovation to develop and maintain our proprietary position.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4" w:name="page15"/>
    <w:bookmarkEnd w:id="14"/>
    <w:p>
      <w:pPr>
        <w:ind w:right="20"/>
        <w:spacing w:after="0" w:line="250" w:lineRule="auto"/>
        <w:rPr>
          <w:sz w:val="20"/>
          <w:szCs w:val="20"/>
          <w:color w:val="auto"/>
        </w:rPr>
      </w:pPr>
      <w:r>
        <w:rPr>
          <w:rFonts w:ascii="Times New Roman" w:cs="Times New Roman" w:eastAsia="Times New Roman" w:hAnsi="Times New Roman"/>
          <w:sz w:val="18"/>
          <w:szCs w:val="18"/>
          <w:color w:val="auto"/>
        </w:rPr>
        <w:t>We file patent applications directed to our product candidates, preclinical compounds and related technologies to establish intellectual property positions on these compounds and their uses in disease. As of December 31, 2024, we owned or exclusively licensed 18 issued U.S. patents, 10 pending U.S. non-provisional patent applications, four pending U.S. provisional patent applications, and approximately 121 PCT and foreign patents and patent applications including in the following foreign jurisdictions: Austria, Australia, Belgium, Brazil, Canada, China, Czech Republic, Denmark, Eurasian Patent Organization, European Patent Office, Finland, France, Germany, Greece, Great Britain, Hong Kong, Hungry, India, Ireland, Israel, Italy, Japan, Kuwait, Mexico, Netherlands, New Zealand, Norway, Oman, Poland, Portugal, Qatar, Saudi Arabia, Slovakia, Slovenia, Singapore, South Africa, South Korea, Spain, Sweden, Switzerland, Turkey, and United Arab Emirates.</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Patents issued from the in-licensed portfolio are exclusively licensed to us under the terms of the Genzyme Agreement and are expected to expire between 2024 and 2027. Additionally, we have exclusively licensed from Genzyme, BIDMC and Georgetown University their interest in certain co-owned patents. Patents issued from our co-owned portfolio, if all maintenance fees are paid, are expected to expire in 2036, not including any Patent Term Adjustment (PTA), Patent Term Extension (PTE), or other extensions of term that may be available.</w:t>
      </w:r>
    </w:p>
    <w:p>
      <w:pPr>
        <w:spacing w:after="0" w:line="2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With respect to our lead product mavorixafor, as of December 31, 2024, we owned or exclusively licensed five issued U.S. patents and one pending U.S. non-provisional patent application that relate to mavorixafor composition of matter; two issued U.S. patents, three pending PCT applications, one pending U.S. non-provisional patent application, and 27 pending foreign patent applications that relate to methods of manufacturing mavorixafor, including certain key intermediate molecules; two issued U.S. patents and one pending U.S. non-provisional patent application that relate to the use of mavorixafor for treatment of patients with WHIM Syndrome; two pending U.S. non-provisional patent application, one pending PCT application, and one pending U.S. provisional patent application that relate to the use of mavorixafor for treatment of patients with conditions involving chronic neutropenia; and two U.S. issued patents, and three pending U.S. non-provisional patent applications, that relate to uses of mavorixafor in other fields, including oncology. The issued U.S. patents covering aspects of mavorixafor and its use, if all maintenance fees are paid, and pending applications, if granted and all maintenance fees paid, are expected to expire between 2024 and 2044, not including any (PTA), (PTE) or other extensions of term that may be available. With respect to foreign patent rights to mavorixafor, as of December 31, 2024, we had approximately 110 pending PCT and foreign patents and patent applications.</w:t>
      </w:r>
    </w:p>
    <w:p>
      <w:pPr>
        <w:spacing w:after="0" w:line="22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7"/>
          <w:szCs w:val="17"/>
          <w:color w:val="auto"/>
        </w:rPr>
        <w:t>With respect to developmental compounds, including preclinical candidates for our X4P-002 and X4P-003 programs, as of December 31, 2024, we had five issued U.S. patents, four pending U.S. non-provisional patent applications, three pending U.S. provisional patent applications and three pending PCT patent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applications. These issued patents, if all maintenance fees are paid, and pending applications, if granted and all maintenance fees paid, are expected to expire</w:t>
      </w:r>
    </w:p>
    <w:p>
      <w:pPr>
        <w:spacing w:after="0" w:line="56"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color w:val="auto"/>
        </w:rPr>
        <w:t>between 2024 and 2045, not including any (PTA), (PTE) or other extensions of term that may be available. With respect to foreign patent rights to our developmental compounds, including preclinical candidates for our X4P-002 and XP-003 programs, we have approximately 22 pending PCT and foreign patents and patent applications.</w:t>
      </w:r>
    </w:p>
    <w:p>
      <w:pPr>
        <w:spacing w:after="0" w:line="20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 Patent and Trademark Office, (the “USPTO”), in examining and granting a patent, or may be shortened if a patent is terminally disclaimed over an earlier filed patent. The term of a U.S. patent that covers a drug or biological product may also be eligible for patent term extension when approval from the FDA is granted, provided statutory and regulatory requirements are met. In the future, if our product candidates receive approval from the FDA or foreign regulatory authorities, we expect to apply for patent term extensions on issued patents covering those products, depending upon the length of the clinical trials for each drug and other factors. There can be no assurance that any of our pending patent applications will issue or that we will benefit from any patent term extension or other favorable adjustment to the term of any of our patents.</w:t>
      </w:r>
    </w:p>
    <w:p>
      <w:pPr>
        <w:spacing w:after="0" w:line="21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product candidates, including mavorixafor, and our preclinical compounds, and our core technologies will depend on our success in obtaining effective patent claims and enforcing those claims if granted. However, patent applications that we may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prior to March 16, 2013, in the United States, patent applications were subject to a “first to invent” rule of law. Applications filed after March 16, 2013 (except for certain applications claiming the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benefit of earlier-filed applications) are subject to a “first to file” rule of law.</w:t>
      </w:r>
    </w:p>
    <w:p>
      <w:pPr>
        <w:spacing w:after="0" w:line="24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Discoveries reported in the scientific literature often lag the actual discoveries, and patent applications in the United States and other jurisdictions are typically not published until 18 months after filing, or in some cases not at all. We cannot be certain that any existing or future application will be subject to the “first to file” or “first to invent” rule of law, that we were the first to make the inventions claimed in our existing patents or pending patent applications subject to the prior laws, or that we were the first to file for patent protection of such inventions subject to the new laws. If third parties prepare and file patent applications in the United States that also claim technology we have claimed in our patents or patent applications, we may have to participate in interference proceedings in the USPTO to determine priority of invention, which could result in substantial costs to us, even if the eventual outcome is favorable to us.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reducing any advantage of any such patent.</w:t>
      </w:r>
    </w:p>
    <w:p>
      <w:pPr>
        <w:spacing w:after="0" w:line="2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know-how, and continuing technological innovation to develop and maintain our competitive position. We seek to protect our proprietary information, in part, by using confidentiality agreements with our collaborators, scientific advisors, employees and consultants, and invention assignment agreements with our employees. We also have agreements requiring assignment of inventions with selected consultants, scientific advisors, and collaborators. The confidentiality agreements are designed to protect our proprietary information and, in the case of agreements or clauses requiring invention assignment, to grant us ownership of technologies that are developed under those agreements.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Approval Process</w:t>
      </w:r>
    </w:p>
    <w:p>
      <w:pPr>
        <w:spacing w:after="0" w:line="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requirements may subject a company to a variety of administrative or judicial sanctions, such as imposition of clinical holds, refusal by the FDA to approve pending NDAs, warning letters, product recalls, product seizures, total or partial suspension of production or distribution, injunctions, fines, refusals of government contracts, restitution, disgorgement, civil penalties and criminal prosecution.</w:t>
      </w:r>
    </w:p>
    <w:p>
      <w:pPr>
        <w:spacing w:after="0" w:line="2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Pharmaceutical product development in the United States typically involves preclinical or other nonclinical laboratory and animal tests and the submission to the FDA of an Investigational New Drug (“IND”) application, which must become effective before clinical testing may commence. For commercial approval, the sponsor must submit adequate and well-controlled investigations demonstrating that the drug is safe for use under the conditions prescribed, recommended or suggested in the proposed labeling and providing substantial evidence, generally consisting of adequate, well-controlled clinical trials to establish that the drug will have the effect it purports or is represented to have under the conditions of use prescribed, recommended or suggested in the proposed labeling.</w:t>
      </w:r>
    </w:p>
    <w:p>
      <w:pPr>
        <w:spacing w:after="0" w:line="195"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Nonclinical tests include laboratory evaluation of product chemistry, formulation, and toxicity, as well as animal studies to assess the characteristics and potential safety and efficacy of the product. The conduct of certain nonclinical tests must comply with federal requirements, including, as applicable, the FDA’s good laboratory practices regulations and the U.S. Department of Agriculture’s regulations implementing the Animal Welfare Act. The results of nonclinical testing are submitted to the FDA as part of an IND along with other information, including information about product chemistry, manufacturing and controls, and a proposed clinical trial protocol. Long-term nonclinical tests, such as animal studies of reproductive toxicity and carcinogenicity, may continue after the IND is submitted.</w:t>
      </w:r>
    </w:p>
    <w:p>
      <w:pPr>
        <w:spacing w:after="0" w:line="21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A 30-day waiting period after the submission of each IND is required prior to the commencement of clinical testing in humans. If the FDA has not imposed a clinical hold on the IND within this 30-day period, the clinical trial proposed in the IND may begin.</w:t>
      </w:r>
    </w:p>
    <w:p>
      <w:pPr>
        <w:ind w:right="20"/>
        <w:spacing w:after="0" w:line="247"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Clinical trials must be conducted in compliance with applicable federal regulations, including good clinical practices, which are meant to protect the rights and safety of study subjects and ensure the integrity of the data generated in the clinical trials and under protocols detailing the objectives of the trial, the parameters to be used in monitoring safety and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effectiveness criteria to be evaluated. Each protocol and subsequent protocol amendments must be submitted to the FDA as part of the IND.</w:t>
      </w:r>
    </w:p>
    <w:p>
      <w:pPr>
        <w:spacing w:after="0" w:line="24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applicable requirements or presents an unacceptable risk to the clinical trial patients. The trial protocol and informed consent information for patients must also be submitted to an institutional review board (“IRB”) at each site where a trial will be conducted. An IRB may also require the clinical trial at the site to be halted, either temporarily or permanently, for failure to comply with the IRB’s requirements or may impose other conditions.</w:t>
      </w:r>
    </w:p>
    <w:p>
      <w:pPr>
        <w:spacing w:after="0" w:line="21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but the phases may overlap. In general, in Phase 1, the initial introduction of the drug into healthy human volunteers or, in some cases,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safety and efficacy of the drug. The FDA may, however, determine that a drug is safe and effective based on one clinical trial plus confirmatory evidence. In some cases, the FDA may require post-market studies, known as Phase 4 studies, to be conducted as a condition of approval to gather additional information on the drug’s effect in various populations and any side effects associated with long-term use. Depending on the risks posed by the drugs, other post-market requirements may be imposed.</w:t>
      </w:r>
    </w:p>
    <w:p>
      <w:pPr>
        <w:spacing w:after="0" w:line="2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relevant preclinical, clinical, and other testing and data and information relating to the product’s pharmacology, chemistry, manufacture, and controls. In addition, the submission of NDAs is generally subject to a substantial application fee, although there are certain exceptions and waivers, such as for orphan-designated drugs.</w:t>
      </w:r>
    </w:p>
    <w:p>
      <w:pPr>
        <w:spacing w:after="0" w:line="20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Under the performance goals established pursuant to the Prescription Drug User Fee Act the FDA aims to complete review of 90% of standard (non-priority) NDAs within 10 months of filing and within six months of filing for priority NDAs.</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 which is typically a panel that includes clinicians and other experts, for review, evaluation and a recommendation on questions presented by the FDA, which may include questions related to whether the application should be approved. The FDA is not bound by the recommendation of an advisory committee, but it generally follows such recommendations. Before approving an NDA, the FDA will typically inspect one or more clinical sites to assure compliance with GCP. Additionally, the FDA will inspect the facility or the facilities at which the drug is manufactured to assess compliance with cGMP.</w:t>
      </w: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After the FDA evaluates the NDA and has conducted applicable inspections, it issues either an approval letter or a complete response letter. A complete response letter generally outlines the deficiencies in the submission and actions the sponsor may take, such as additional testing, or information, in order for the FDA to reconsider the application. If, and when, those deficiencies have been addressed to the FDA’s satisfaction in a resubmission of the NDA, the FDA will issue an approval letter.</w:t>
      </w:r>
    </w:p>
    <w:p>
      <w:pPr>
        <w:spacing w:after="0" w:line="20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An approval letter may also include post-marketing requirements and commitments, such as the conduct of additional clinical trials or CMC studies. As a condition of NDA approval, the FDA may require a risk evaluation and mitigation strategy (“REMS”) to ensure that the benefits of the drug outweigh the potential risks. REMS can include medication guides, communication plans for health care professionals, and elements to assure safe use (“ETASU”). ETASU can include, but are not limited to, special training</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7" w:name="page18"/>
    <w:bookmarkEnd w:id="17"/>
    <w:p>
      <w:pPr>
        <w:ind w:right="820"/>
        <w:spacing w:after="0" w:line="274" w:lineRule="auto"/>
        <w:rPr>
          <w:sz w:val="20"/>
          <w:szCs w:val="20"/>
          <w:color w:val="auto"/>
        </w:rPr>
      </w:pPr>
      <w:r>
        <w:rPr>
          <w:rFonts w:ascii="Times New Roman" w:cs="Times New Roman" w:eastAsia="Times New Roman" w:hAnsi="Times New Roman"/>
          <w:sz w:val="18"/>
          <w:szCs w:val="18"/>
          <w:color w:val="auto"/>
        </w:rPr>
        <w:t>or certification for prescribing or dispensing, dispensing only under certain circumstances, special monitoring, and the use of patient registries. The requirement for a REMS can materially affect the potential market and profitability of the drug.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Act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When seeking NDA approval,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(“Orange Book”). Drugs listed in the Orange Book can, in turn, be referenced by potential competitors in support of approval of an abbreviated new drug application (“ANDA”) or an NDA submitted under section 505(b)(2) of the FD&amp;C Act (“505(b)(2) NDA”). An ANDA provides for marketing of a drug product that has the same active ingredients in the same strengths and dosage form as the listed drug and has been shown to be bioequivalent to the listed drug. Other than bioequivalence testing, ANDA applicants are not required to conduct, or submit results of, pre-clinical or clinical tests to demonstrates the safety or effectiveness of their drug product. Drugs approved in this way generally are considered to be therapeutically equivalent to the listed drug, are commonly referred to as “generic equivalents” to the listed drug and can often be substituted by pharmacists under prescriptions written for the original listed drug in accordance with state law. A 505(b)(2) NDA provides for the marketing of a drug for which one or more investigations supporting its approval were not conducted by or for the applicant or for which the applicant had not obtained a right of reference. In some instances, a 505(b)(2) NDA applicant may rely on the FDA’s findings of safety and effectiveness for a previously approved drug.</w:t>
      </w:r>
    </w:p>
    <w:p>
      <w:pPr>
        <w:spacing w:after="0" w:line="2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 ANDA applicant, or a 505(b)(2) NDA applicant that is relying on FDA’s finding of safety and effectiveness for a previously approved drug,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applicant may also elect to submit a section viii statement, certifying that the proposed product labeling does not contain (or carves out) any language related to the listed the patent.</w:t>
      </w:r>
    </w:p>
    <w:p>
      <w:pPr>
        <w:spacing w:after="0" w:line="212"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If the applicant does not challenge the listed patents, the ANDA application will not be approved until all the listed patents claiming the referenced product have expired.</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certification that an ANDA or 505(b)(2) NDA will not infringe the already approved product’s listed patents, or that such patents are invalid, is called a Paragraph IV certification. If the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of the receipt of a Paragraph IV notice automatically prevents the FDA from approving the ANDA or 505(b)(2) NDA until the earlier of 30 months, expiration of the patent, settlement of the lawsuit, or a decision in the infringement case that is favorable to the applicant.</w:t>
      </w:r>
    </w:p>
    <w:p>
      <w:pPr>
        <w:spacing w:after="0" w:line="21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The ANDA or 505(b)(2) NDA application also will not be approved until any applicable non-patent exclusivity listed in the Orange Book for the referenced product has expired.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2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Upon NDA approval of a new chemical entity (“NCE”), which is a drug that contains no active moiety that has been approved by the FDA in any other NDA, that drug receives five years of marketing exclusivity during which time the FDA cannot receive any ANDA or 505(b)(2) NDA application seeking approval of a drug that references the NCE drug. Certain changes to an approved drug that are supported by clinical studies that are essential to the approval of such changes, such as the addition of a new indication, are associated with a three-year period of exclusivity during which the FDA cannot approve an ANDA or 505(b)(2) NDA application that includes the change.</w:t>
      </w:r>
    </w:p>
    <w:p>
      <w:pPr>
        <w:spacing w:after="0" w:line="21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An ANDA or 505(b)(2) NDA application may be submitted one year before NCE exclusivity expires if a Paragraph IV certification is filed. If there is no listed patent in the Orange Book, there may not be a Paragraph IV certification and thus no ANDA or 505(b)(2) application may be filed before the expiration of the exclusivity period.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18" w:name="page19"/>
    <w:bookmarkEnd w:id="18"/>
    <w:p>
      <w:pPr>
        <w:spacing w:after="0" w:line="192"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color w:val="auto"/>
        </w:rPr>
        <w:t>Five-year and three-year exclusivities do not preclude FDA approval of another 505(b)(1) NDA application for the drug during the period of exclusivity, provided that the 505(b)(1) applicant conducts or obtains a right of reference to all of the preclinical studies and adequate and well controlled clinical trials necessary to demonstrate safety and effectiveness.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2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After NDA approval, owners of relevant drug patents may apply for up to a five-year patent extension. The allowable patent term extension generally is calculated based on half of the drug’s testing phase—the time between IND clearance and NDA submission—and all of the review phase—the time between NDA submission and approval up to a maximum of five years. The extension period can be shortened if the FDA determines that the applicant did not pursue approval with due diligence. The total patent term after the extension may not exceed 14 years.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Requirements</w:t>
      </w:r>
    </w:p>
    <w:p>
      <w:pPr>
        <w:spacing w:after="0" w:line="24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Once an NDA is approved, the manufacturer and the product will be subject to continuing regulation by the FDA, including, among other things, monitoring and recordkeeping activities, annual report requirements, reporting of adverse experiences, and complying with promotion and advertising requirements. The FDA closely regulates the post-approval marketing and promotion of drugs.</w:t>
      </w:r>
    </w:p>
    <w:p>
      <w:pPr>
        <w:spacing w:after="0" w:line="20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color w:val="auto"/>
        </w:rPr>
        <w:t>Drugs may be marketed only for the approved indications and in a manner that is consistent with their approved labeling. Although physicians may prescribe legally available products for off-label uses, manufacturers may not market or promote such uses. Prescription drug promotional materials must be submitted to the FDA at the time of their first use.</w:t>
      </w:r>
    </w:p>
    <w:p>
      <w:pPr>
        <w:spacing w:after="0" w:line="20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Changes to certain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similar procedures in reviewing and approving NDA supplements as it does for original NDAs.</w:t>
      </w:r>
    </w:p>
    <w:p>
      <w:pPr>
        <w:spacing w:after="0" w:line="20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Adverse event reporting and submission of annual safety reports is also required following FDA approval of an NDA. New safety information that emerges after NDA approval may require changes to a drug’s approved labeling, including the addition of new warnings and precautions or contraindications, and could require the implementation of other risk management measures, including a REMS or the conduct of post-marketing studies to assess the newly discovered safety issue. Product approvals also may be withdrawn if problems occur following initial marketing.</w:t>
      </w:r>
    </w:p>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quality 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Manufacturers are also subject to tracking and tracing requirements. Accordingly, manufacturers must continue to expend time, money and effort in the areas of production and quality 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 and Pediatric Information</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period of exclusivity attached to any patent or regulatory exclusivity listed in the Orange Book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completion of the studies in accordance with the written request and submission of reports from the requested studies to the FDA.</w:t>
      </w:r>
    </w:p>
    <w:p>
      <w:pPr>
        <w:spacing w:after="0" w:line="21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addition, under the Pediatric Research Equity Act (“PREA”), certain NDAs or NDA supplements must contain data to assess the safety and effectiveness of the drug for the claimed indications in all relevant pediatric subpopulations and to support dosing and administration for each pediatric subpopulation for which the drug is safe and effective, unless the sponsor has received a deferral or waiver from the FDA. Unless otherwise required by regulation, PREA does not apply to any drug for an indication for which orphan designation has been granted. The sponsor may request a deferral or waiver of pediatric studies for some or all of the pediatric subpopulations. A deferral may be granted for several reasons, including a finding that the drug is ready for approval for use in adults before pediatric studies are complete or that additional safety or effectiveness data need to be collected before the pediatric studies begin.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and Rare Pediatric Disease Designation</w:t>
      </w:r>
    </w:p>
    <w:p>
      <w:pPr>
        <w:spacing w:after="0" w:line="2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Under the Orphan Drug Act, the FDA may grant orphan drug designation to drugs intended to treat a rare disease or condition—generally a disease or condition that affects fewer than 200,000 individuals in the United States (or affects more than 200,000 in the United States and for which there is no reasonable expectation that the cost of developing and making available in the United States a drug for such disease or condition will be recovered from sales of such drug in the United States). Orphan drug designation must be requested before submitting an NDA. After the FDA grants orphan drug designation, the generic identity of the drug and its designated orphan use are disclosed publicly by the FDA. Orphan drug designation does not convey any advantage in, or shorten the duration of, the regulatory review and approval process. The first NDA applicant to receive FDA approval for a particular drug to treat a particular disease with FDA orphan drug designation is entitled to a seven-year exclusive marketing period in the United States for that drug, for that disease. During the seven-year exclusivity period, the FDA may not approve any other applications to market the same drug for the same disease, except in limited circumstances, such as a showing of clinical superiority to the product with orphan drug exclusivity. If the FDA designates an orphan drug based on a finding of clinical superiority, the FDA must provide a written notification to the sponsor that states the basis for orphan designation. The FDA must also publish a summary of its clinical superiority findings upon granting approval and orphan drug exclusivity to a subsequent product based on clinical superiority.</w:t>
      </w:r>
    </w:p>
    <w:p>
      <w:pPr>
        <w:spacing w:after="0" w:line="20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fee.</w:t>
      </w:r>
    </w:p>
    <w:p>
      <w:pPr>
        <w:spacing w:after="0" w:line="19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The FDA grants Rare Pediatric Disease designation for serious and life-threatening diseases that primarily affect children ages 18 years or younger and fewer than 200,000 individuals in the United States. A priority review voucher may be issued upon approval of an NDA for therapies developed to treat such rare pediatric diseases. Priority review vouchers may be redeemed to obtain priority review for any subsequent marketing application or be sold or transferred. Under amended statutory sunset provisions, after December 20, 2024, the FDA may award a priority review voucher for an approved rare pediatric disease product application only if rare pediatric disease designation was granted by December 20, 2024. After September 30, 2026, the FDA may not award any rare pediatric disease priority review vouchers. Congress may vote to reauthorize this program, but its future remains unknown at this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FDA has a Fast Track program that is intended to expedite or facilitate the process for development and review of new drugs that meet certain criteria. Specifically, new drugs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w:t>
      </w:r>
    </w:p>
    <w:p>
      <w:pPr>
        <w:spacing w:after="0" w:line="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which it is being studied. Products that receive Fast Track designation may also be eligible for other types of FDA programs intended to expedite development and review, such as priority review and accelerated approval.</w:t>
      </w:r>
    </w:p>
    <w:p>
      <w:pPr>
        <w:spacing w:after="0" w:line="190"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Any product is eligible for priority review if it treats a serious or life-threatening condition and, if approved, would provide a significant improvement in safety and effectiveness compared to available therapies. The FDA will attempt to direct additional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resources to the evaluation of an application for a new drug designated for priority review to facilitate the review.</w:t>
      </w:r>
    </w:p>
    <w:p>
      <w:pPr>
        <w:spacing w:after="0" w:line="24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 product can be designated as a Breakthrough Therapy by FDA if it is intended to treat a serious or life-threatening condition and preliminary clinical evidence indicates that it may demonstrate substantial improvement over existing therapies on one or more clinically significant endpoints. A sponsor may request that a product candidate be designated as a breakthrough therapy concurrently with the submission of an IND or any time afterward, but ideally before an end-of-Phase-2 meeting. The FDA must determine if the product candidate qualifies for Breakthrough Therapy designation within 60 days of receipt of the sponsor’s request.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 Government Regulation</w:t>
      </w:r>
    </w:p>
    <w:p>
      <w:pPr>
        <w:spacing w:after="0" w:line="28"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In addition to laws and regulations in the United States, we are and will be subject, either directly or through our distribution partners, to a variety of regulations in other jurisdictions governing, among other things, clinical trials, manufacturing and any commercial sales and distribution of our products, if approved.</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in the United States, we must obtain the requisite authorization or approvals from regulatory authorities in non-U.S. countries prior to the commencement of clinical trials or marketing of the product in those countries. The requirements of regulatory authorities outside the United States are in many respects similar to those we are subject to in the United States, but in some instances the legal and regulatory requirements outside the United States may differ from or be more stringent than what we must comply with in the 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UK formally left the EU on January 31, 2020. 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A new framework named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 will be granted by the MHRA for all novel medicinal products to be sold in the UK, enabling products to be sold in a single pack and under a single authorization throughout the UK.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 There is now no pre-marketing authorization orphan designation in the UK. Instead, the MHRA reviews applications for orphan designation in parallel to the corresponding MA application. The criteria are essentially the same, but have been tailored for the UK market, i.e., the prevalence of the condition in UK (rather than the EU) must not be more than five in 10,000. Should an orphan designation be granted, the period of market exclusivity will be set from the date of first approval of the product in the UK.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the EU, our future products may also be subject to extensive regulatory requirements. As in the United States, medicinal products can be marketed only if a marketing authorization from the competent regulatory agencies has been obtained.</w:t>
      </w:r>
    </w:p>
    <w:p>
      <w:pPr>
        <w:spacing w:after="0" w:line="210"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 are subject to significant regulatory controls. In April 2014, the EU adopted the Clinical Trials Regulation (EU) No 536/2014, which replaced the Clinical Trials Directive 2001/20/EC on January 31, 2022. The transitory provisions of the Regulation provide that, by January 31, 2025, all ongoing clinical trials must have transitioned to the Regulation.</w:t>
      </w:r>
    </w:p>
    <w:p>
      <w:pPr>
        <w:spacing w:after="0" w:line="20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Regulation overhauled the system of approvals for clinical trials in the EU. Specifically, it is directly applicable in all EU Member States (meaning that no national implementing legislation in each EU Member State is required), and aims at simplifying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21" w:name="page22"/>
    <w:bookmarkEnd w:id="21"/>
    <w:p>
      <w:pPr>
        <w:ind w:right="20"/>
        <w:spacing w:after="0" w:line="250" w:lineRule="auto"/>
        <w:rPr>
          <w:sz w:val="20"/>
          <w:szCs w:val="20"/>
          <w:color w:val="auto"/>
        </w:rPr>
      </w:pPr>
      <w:r>
        <w:rPr>
          <w:rFonts w:ascii="Times New Roman" w:cs="Times New Roman" w:eastAsia="Times New Roman" w:hAnsi="Times New Roman"/>
          <w:sz w:val="18"/>
          <w:szCs w:val="18"/>
          <w:color w:val="auto"/>
        </w:rPr>
        <w:t>and streamlining the approval of clinical trials in the EU. The main characteristics of the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also been established for the assessment of clinical trial applications.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authorization (“MA”).</w:t>
      </w:r>
    </w:p>
    <w:p>
      <w:pPr>
        <w:spacing w:after="0" w:line="22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centralized MA is issued by the European Commission through the centralized procedure, based on the opinion of the Committee for Medicinal Products for Human Use (“CHMP”), of the EMA, and is valid throughout the entire territory of the EU and the additional countries of the European Economic Area (Iceland, Liechtenstein and Norway) (“EEA”). The centralized procedure is mandatory for certain types of products, including products produced by biotechnological processes, products designated as orphan medicinal products, advanced-therapy medicinal products (gene-therapy, somatic cell-therapy, or tissue-engineered medicines) and medicinal products containing a new active substance indicated for the treatment of HIV, AIDS, cancer, neurodegenerative disorders, diabetes, auto-immune and other immune dysfunctions or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1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Under the centralized procedure, the EMA’s CHMP is responsible for conducting the initial assessment of a product and for several post-authorization and maintenance activities, such as the assessment of modifications or extensions to an existing MA. The maximum timeframe for the evaluation of an MA application by the EMA is 210 days, excluding clock stops when additional written or oral information is to be provided by the applicant in response to questions asked by the CHMP. Clock stops may extend the timeframe of evaluation of an MA application considerably beyond 210 days. Where the CHMP gives a positive opinion, it provides the opinion together with supporting documentation to the European Commission, who makes the final decision to grant an MA,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If the CHMP accepts such request, the time limit of 210 days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New Chemical Entity Exclusivity</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the grant of an MA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market exclusivity, a generic or biosimilar MA application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 holder obtains an MA for one or more new therapeutic indications which, during the scientific evaluation prior to their authorization, are determined to bring a significant clinical benefit in comparison with currently approved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MA application with a complete and independent data package of pharmaceutical tests, preclinical tests and clinical trials.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Orphan Designation and Exclusivity</w:t>
      </w:r>
    </w:p>
    <w:p>
      <w:pPr>
        <w:spacing w:after="0" w:line="28" w:lineRule="exact"/>
        <w:rPr>
          <w:sz w:val="20"/>
          <w:szCs w:val="20"/>
          <w:color w:val="auto"/>
        </w:rPr>
      </w:pPr>
    </w:p>
    <w:p>
      <w:pPr>
        <w:ind w:right="500"/>
        <w:spacing w:after="0" w:line="251" w:lineRule="auto"/>
        <w:rPr>
          <w:sz w:val="20"/>
          <w:szCs w:val="20"/>
          <w:color w:val="auto"/>
        </w:rPr>
      </w:pPr>
      <w:r>
        <w:rPr>
          <w:rFonts w:ascii="Times New Roman" w:cs="Times New Roman" w:eastAsia="Times New Roman" w:hAnsi="Times New Roman"/>
          <w:sz w:val="18"/>
          <w:szCs w:val="18"/>
          <w:color w:val="auto"/>
        </w:rPr>
        <w:t>In the EU, the European Commission grants orphan designation in respect of a product, after receiving the opinion of the EMA’s Committee for Orphan Medicinal Products, if its sponsor can establish that: (1) the product is intended for the diagnosis,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2" w:name="page23"/>
    <w:bookmarkEnd w:id="22"/>
    <w:p>
      <w:pPr>
        <w:ind w:right="80"/>
        <w:spacing w:after="0" w:line="274" w:lineRule="auto"/>
        <w:rPr>
          <w:sz w:val="20"/>
          <w:szCs w:val="20"/>
          <w:color w:val="auto"/>
        </w:rPr>
      </w:pPr>
      <w:r>
        <w:rPr>
          <w:rFonts w:ascii="Times New Roman" w:cs="Times New Roman" w:eastAsia="Times New Roman" w:hAnsi="Times New Roman"/>
          <w:sz w:val="17"/>
          <w:szCs w:val="17"/>
          <w:color w:val="auto"/>
        </w:rPr>
        <w:t>prevention or treatment of a life-threatening or chronically debilitating condition; (2) either (i) such condition affects no more than five in 10,000 persons in the EU when the application is made, or (ii)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a significant benefit to those affected by that condition.</w:t>
      </w:r>
    </w:p>
    <w:p>
      <w:pPr>
        <w:spacing w:after="0" w:line="19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In the EU, orphan designation entitles a party to financial incentives such as reduction of fees or fee waivers and ten years of market exclusivity is granted following the grant of an MA. During this market exclusivity period, neither the EMA nor the European Commission nor any of the competent authorities in the EU Members States can accept an application or grant an MA for a “similar medicinal product” for the authorized orphan indication. A “similar medicinal product” is defined as a medicinal product containing a similar active substance or substances as contained in an authorized orphan medicinal product, and which is intended for the same therapeutic indication. This period may be reduced to six years if, at the end of the fifth year, it is established that the orphan designation criteria are no longer met, including where it is shown that the product is sufficiently profitable not to justify maintenance of market exclusivity. An MA may be granted to a similar medicinal product to an authorized orphan product in very select cases, such as if: (i) it is established that a similar medicinal product is safer, more effective or otherwise clinically superior to the authorized product; (ii) the MA holder for the authorized orphan product consents to the authorization of the similar medicinal product; or (iii) the MA holder for the authorized orphan product cannot supply enough orphan medicinal product. Orphan designation must be requested before submitting an application for an MA. Orphan designation does not convey any advantage in, or shorten the duration of, the regulatory review and approval process.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Regulatory Requirements After a Marketing Authorization has been Obtained</w:t>
      </w:r>
    </w:p>
    <w:p>
      <w:pPr>
        <w:spacing w:after="0" w:line="28"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8"/>
          <w:szCs w:val="18"/>
          <w:color w:val="auto"/>
        </w:rPr>
        <w:t>If authorization for a medicinal product in the EU is obtained, the holder of the MA is required to comply with a range of requirements applicable to the manufacturing, marketing, promotion, and sale of medicinal products. These include:</w:t>
      </w:r>
    </w:p>
    <w:p>
      <w:pPr>
        <w:spacing w:after="0" w:line="22" w:lineRule="exact"/>
        <w:rPr>
          <w:sz w:val="20"/>
          <w:szCs w:val="20"/>
          <w:color w:val="auto"/>
        </w:rPr>
      </w:pPr>
    </w:p>
    <w:p>
      <w:pPr>
        <w:ind w:left="640" w:right="140" w:hanging="316"/>
        <w:spacing w:after="0" w:line="237" w:lineRule="auto"/>
        <w:tabs>
          <w:tab w:leader="none" w:pos="635"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20" w:lineRule="exact"/>
        <w:rPr>
          <w:rFonts w:ascii="Arial" w:cs="Arial" w:eastAsia="Arial" w:hAnsi="Arial"/>
          <w:sz w:val="21"/>
          <w:szCs w:val="21"/>
          <w:color w:val="auto"/>
        </w:rPr>
      </w:pPr>
    </w:p>
    <w:p>
      <w:pPr>
        <w:ind w:left="640" w:right="180" w:hanging="316"/>
        <w:spacing w:after="0" w:line="242" w:lineRule="auto"/>
        <w:tabs>
          <w:tab w:leader="none" w:pos="635"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2017/1572, Regulation (EC) No 726/2004 and the European Commission Guidelines for Good Manufacturing Practice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21" w:lineRule="exact"/>
        <w:rPr>
          <w:rFonts w:ascii="Arial" w:cs="Arial" w:eastAsia="Arial" w:hAnsi="Arial"/>
          <w:sz w:val="21"/>
          <w:szCs w:val="21"/>
          <w:color w:val="auto"/>
        </w:rPr>
      </w:pPr>
    </w:p>
    <w:p>
      <w:pPr>
        <w:ind w:left="640" w:hanging="316"/>
        <w:spacing w:after="0" w:line="246" w:lineRule="auto"/>
        <w:tabs>
          <w:tab w:leader="none" w:pos="635"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reward improper performance generally may be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as well as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Reform of the Regulatory Framework in the European Union</w:t>
      </w:r>
    </w:p>
    <w:p>
      <w:pPr>
        <w:spacing w:after="0" w:line="2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28"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18"/>
          <w:szCs w:val="18"/>
          <w:color w:val="auto"/>
        </w:rPr>
        <w:t>Sales of pharmaceutical products in the United States will depend, in part, on the extent to which the costs of the products will be covered by third-party payors, such as government health programs, and commercial insurance and managed health care organizations. These third-party payors are increasingly challenging the prices charged for medical products and services.</w:t>
      </w:r>
    </w:p>
    <w:p>
      <w:pPr>
        <w:spacing w:after="0" w:line="21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obtain regulatory approval. In the United States,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Coverage and reimbursement policies for drug products can differ significantly from payor to payor as there is no uniform policy of coverage and reimbursement for drug products among third party payors in the United States. Third-party payors often rely upon Medicare coverage policy and payment limitations in setting their own reimbursement rates, but also have their own methods and approval process apart from Medicare determinations.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FDA-approved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utilization management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(“MMA”), imposed requirements for the distribution and pricing of</w:t>
      </w:r>
    </w:p>
    <w:p>
      <w:pPr>
        <w:spacing w:after="0" w:line="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prescription drugs for Medicare beneficiaries and included a major expansion of the prescription drug benefit under Medicare Part D (“Part D”). Under Part D, Medicare beneficiaries may enroll in prescription drug plans offered by private entities that provide coverage of outpatient prescription drugs. Part D is available through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w:t>
      </w:r>
    </w:p>
    <w:p>
      <w:pPr>
        <w:spacing w:after="0" w:line="21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4"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medical products and services, in addition to their safety and efficacy. In order to obtain coverage and reimbursement for any product that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4" w:name="page25"/>
    <w:bookmarkEnd w:id="24"/>
    <w:p>
      <w:pPr>
        <w:ind w:right="20"/>
        <w:spacing w:after="0" w:line="274" w:lineRule="auto"/>
        <w:rPr>
          <w:sz w:val="20"/>
          <w:szCs w:val="20"/>
          <w:color w:val="auto"/>
        </w:rPr>
      </w:pPr>
      <w:r>
        <w:rPr>
          <w:rFonts w:ascii="Times New Roman" w:cs="Times New Roman" w:eastAsia="Times New Roman" w:hAnsi="Times New Roman"/>
          <w:sz w:val="17"/>
          <w:szCs w:val="17"/>
          <w:color w:val="auto"/>
        </w:rPr>
        <w:t>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Payors, whether domestic, foreign, governmental or private, are developing increasingly sophisticated methods of controlling healthcare costs. In both the U.S. and certain foreign jurisdictions, there have been a number of legislative and regulatory changes to the health care system that could impact our ability to sell our products profitably. For example, the Patient Protection and Affordable Care Act, as amended by the Health Care and Education Reconciliation Act of 2010, collectively, the ACA, was enacted with the goal of expanding coverage for the uninsured while at the same time containing overall health care costs. With regard to pharmaceutical products, among other things, the ACA expanded and increased industry rebates for drugs covered under Medicaid programs and made changes to the coverage requirements under the Medicare D program.</w:t>
      </w:r>
    </w:p>
    <w:p>
      <w:pPr>
        <w:spacing w:after="0" w:line="2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Since its enactment, there have been a number of judicial, administrative, executive, and legislative challenges to certain aspects of the ACA. On June 17, 2021, for example, the U.S. Supreme Court dismissed a judicial challenge on procedural grounds that argued the ACA is unconstitutional in its entirety because the “individual mandate” was repealed by Congress. In addition, the Inflation Reduction Act of 2022 (“IRA”), among other things, extended enhanced subsidies for individuals purchasing health insurance coverage in ACA marketplaces through plan year 2025. The IRA also eliminated the “donut hole” under the Medicare Part D program (effective January 1, 2025) by capping the beneficiary maximum out-of-pocket cost at $2,000 per year and creating a new manufacturer discount program. The ACA continues to be subject to judicial or challenges and may be subject to legislative healthcare reform measures in the future. It is unclear how any such challenges and or healthcare reform measures will impact the ACA.</w:t>
      </w:r>
    </w:p>
    <w:p>
      <w:pPr>
        <w:spacing w:after="0" w:line="21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There has been heightened governmental scrutiny recently over pharmaceutical pricing practices in light of the rising cost of prescription drugs and biologics. Such scrutiny has resulted in several Presidential executive orders, Congressional hearings and proposed and enacted federal and state legislation designed to, among other things, bring more transparency to product pricing, review the relationship between pricing and manufacturer patient programs, and reform government program reimbursement methodologies for products. Congress has also passed additional reform measures. This includes the IRA, which,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requires drug manufacturers to pay drug rebates with respect to certain drugs and biologics covered under Medicare Part B or Medicare Part D to the extent that drug prices increase faster than inflation. Under the IRA, orphan drugs are exempted from the Medicare drug price</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negotiation program, but only if they have one orphan designation and for which the only approved indication(s) is for that disease or condition. The IRA permits HHS to implement many of these provisions through guidance, as opposed to regulation, for the initial years. These provisions have taken effect progressively starting in fiscal year 2023, although the implementation of the IRA is currently subject to ongoing litigation that challenges the constitutionality of the IRA’s Medicare drug price negotiation program. It is currently unclear how the IRA will be implemented but is likely to have a significant impact on the pharmaceutical industry.</w:t>
      </w:r>
    </w:p>
    <w:p>
      <w:pPr>
        <w:spacing w:after="0" w:line="212"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In addition, the Trump Administration is likely to propose new regulations that reform healthcare delivery in the United States, including related to healthcare and drug costs and pharmacy benefit manager reform, among other areas, the effect of which on our business and the pharmaceutical industry in general is not yet known.</w:t>
      </w:r>
    </w:p>
    <w:p>
      <w:pPr>
        <w:spacing w:after="0" w:line="20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some E.U.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Such differences in national pricing regimes may create price differentials between E.U. member states.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In the European Union,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5" w:name="page26"/>
    <w:bookmarkEnd w:id="25"/>
    <w:p>
      <w:pPr>
        <w:ind w:right="200"/>
        <w:spacing w:after="0" w:line="274" w:lineRule="auto"/>
        <w:rPr>
          <w:sz w:val="20"/>
          <w:szCs w:val="20"/>
          <w:color w:val="auto"/>
        </w:rPr>
      </w:pPr>
      <w:r>
        <w:rPr>
          <w:rFonts w:ascii="Times New Roman" w:cs="Times New Roman" w:eastAsia="Times New Roman" w:hAnsi="Times New Roman"/>
          <w:sz w:val="18"/>
          <w:szCs w:val="18"/>
          <w:color w:val="auto"/>
        </w:rPr>
        <w:t>the downward pressure on healthcare costs in general, particularly prescription medicines, has become intense. As a result, barriers to entry of new products are becoming increasingly high and patients are unlikely to use a drug product that is not reimbursed by their government.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current and future operations may subject us to various federal and state laws targeting fraud and abuse in the healthcare industry. These laws may impact, among other things, our research and proposed sales, marketing and education programs. In addition, we may be subject to patient privacy regulation by both the federal government and the states and foreign jurisdictions in which we conduct our business. The laws that may affect our ability to operate include:</w:t>
      </w:r>
    </w:p>
    <w:p>
      <w:pPr>
        <w:spacing w:after="0" w:line="21" w:lineRule="exact"/>
        <w:rPr>
          <w:sz w:val="20"/>
          <w:szCs w:val="20"/>
          <w:color w:val="auto"/>
        </w:rPr>
      </w:pPr>
    </w:p>
    <w:p>
      <w:pPr>
        <w:ind w:left="640" w:right="280" w:hanging="316"/>
        <w:spacing w:after="0" w:line="239"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23" w:lineRule="exact"/>
        <w:rPr>
          <w:rFonts w:ascii="Arial" w:cs="Arial" w:eastAsia="Arial" w:hAnsi="Arial"/>
          <w:sz w:val="21"/>
          <w:szCs w:val="21"/>
          <w:color w:val="auto"/>
        </w:rPr>
      </w:pPr>
    </w:p>
    <w:p>
      <w:pPr>
        <w:jc w:val="both"/>
        <w:ind w:left="640" w:right="680" w:hanging="316"/>
        <w:spacing w:after="0" w:line="239"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23" w:lineRule="exact"/>
        <w:rPr>
          <w:rFonts w:ascii="Arial" w:cs="Arial" w:eastAsia="Arial" w:hAnsi="Arial"/>
          <w:sz w:val="21"/>
          <w:szCs w:val="21"/>
          <w:color w:val="auto"/>
        </w:rPr>
      </w:pPr>
    </w:p>
    <w:p>
      <w:pPr>
        <w:ind w:left="640" w:right="160" w:hanging="316"/>
        <w:spacing w:after="0" w:line="257" w:lineRule="auto"/>
        <w:tabs>
          <w:tab w:leader="none" w:pos="635"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7"/>
          <w:szCs w:val="17"/>
          <w:color w:val="auto"/>
        </w:rPr>
        <w:t>the federal Health Insurance Portability and Accountability Act of 1996 (“HIPAA”), which created additional federal criminal statutes that prohibit, among other things, executing a scheme to defraud any healthcare benefit program and making false statements relating to healthcare matters;</w:t>
      </w:r>
    </w:p>
    <w:p>
      <w:pPr>
        <w:spacing w:after="0" w:line="21" w:lineRule="exact"/>
        <w:rPr>
          <w:rFonts w:ascii="Arial" w:cs="Arial" w:eastAsia="Arial" w:hAnsi="Arial"/>
          <w:sz w:val="20"/>
          <w:szCs w:val="20"/>
          <w:color w:val="auto"/>
        </w:rPr>
      </w:pPr>
    </w:p>
    <w:p>
      <w:pPr>
        <w:ind w:left="640" w:right="320" w:hanging="316"/>
        <w:spacing w:after="0" w:line="241"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federal transparency laws, including the federal Physician Payments Sunshine Act, that require drug manufacturers to disclose payments and other transfers of value provided to physicians, (currently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21" w:lineRule="exact"/>
        <w:rPr>
          <w:rFonts w:ascii="Arial" w:cs="Arial" w:eastAsia="Arial" w:hAnsi="Arial"/>
          <w:sz w:val="21"/>
          <w:szCs w:val="21"/>
          <w:color w:val="auto"/>
        </w:rPr>
      </w:pPr>
    </w:p>
    <w:p>
      <w:pPr>
        <w:ind w:left="640" w:right="160" w:hanging="316"/>
        <w:spacing w:after="0" w:line="242"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HIPAA, as amended by the Health Information Technology and Clinical Health Act (“HITECH”), and its implementing regulations, which imposes certain requirements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covered subcontractors, with respect to safeguarding the privacy, security and transmission of individually identifiable health information;</w:t>
      </w:r>
    </w:p>
    <w:p>
      <w:pPr>
        <w:spacing w:after="0" w:line="21" w:lineRule="exact"/>
        <w:rPr>
          <w:rFonts w:ascii="Arial" w:cs="Arial" w:eastAsia="Arial" w:hAnsi="Arial"/>
          <w:sz w:val="21"/>
          <w:szCs w:val="21"/>
          <w:color w:val="auto"/>
        </w:rPr>
      </w:pPr>
    </w:p>
    <w:p>
      <w:pPr>
        <w:ind w:left="640" w:right="60" w:hanging="316"/>
        <w:spacing w:after="0" w:line="237"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Federal drug price reporting laws, which require manufacturers to calculate and report complex pricing metrics to government programs, where such reported prices may be used in the calculation of reimbursement and/or discounts on approved products; and</w:t>
      </w:r>
    </w:p>
    <w:p>
      <w:pPr>
        <w:spacing w:after="0" w:line="20" w:lineRule="exact"/>
        <w:rPr>
          <w:rFonts w:ascii="Arial" w:cs="Arial" w:eastAsia="Arial" w:hAnsi="Arial"/>
          <w:sz w:val="21"/>
          <w:szCs w:val="21"/>
          <w:color w:val="auto"/>
        </w:rPr>
      </w:pPr>
    </w:p>
    <w:p>
      <w:pPr>
        <w:ind w:left="640" w:right="20" w:hanging="316"/>
        <w:spacing w:after="0" w:line="243"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Foreign and state law equivalents of each of the above federal laws, such as anti-kickback and false claims laws which may apply to items or services reimbursed by any third-party payor, including commercial insurers, state and local laws governing the disclosure of payments to health care professionals, state laws that require pharmaceutical companies to comply with the pharmaceutical industry’s voluntary compliance guidelines and the relevant compliance guidance promulgated by the federal government, state laws that require the reporting of information related to drug pricing, state and local laws requiring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2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imprisonment, exclusion from government funded healthcare programs, such as Medicare and Medicaid, and the curtailment or restructuring of our operations. If any of the physicians or other healthcare providers or entities with whom we expect to do business is found to be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26" w:name="page27"/>
    <w:bookmarkEnd w:id="26"/>
    <w:p>
      <w:pPr>
        <w:ind w:right="200"/>
        <w:spacing w:after="0" w:line="274" w:lineRule="auto"/>
        <w:rPr>
          <w:sz w:val="20"/>
          <w:szCs w:val="20"/>
          <w:color w:val="auto"/>
        </w:rPr>
      </w:pPr>
      <w:r>
        <w:rPr>
          <w:rFonts w:ascii="Times New Roman" w:cs="Times New Roman" w:eastAsia="Times New Roman" w:hAnsi="Times New Roman"/>
          <w:sz w:val="18"/>
          <w:szCs w:val="18"/>
          <w:color w:val="auto"/>
        </w:rPr>
        <w:t>not in compliance with applicable laws, they may be subject to significant criminal, civil or administrative sanctions, including exclusions from government funded healthcare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Policies and Procedures</w:t>
      </w:r>
    </w:p>
    <w:p>
      <w:pPr>
        <w:spacing w:after="0" w:line="2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As of December 31, 2024, we had 143 full-time employees. Of these employees, 84 were engaged in research and development and 59 were engaged in selling, general and administrative functions. In February 2025, as part of the 2025 Restructuring, we implemented a net reduction of our employee headcount by 43 employees. All of our employees, for fiscal year 2024 were located in the United States or Vienna, Austria. We have no collective bargaining agreements with our employees and have not experienced any work stoppages. We consider our relationship with our employees to be good. As of March 1, 2025, we had approximately 100 employees in the United States.</w:t>
      </w:r>
    </w:p>
    <w:p>
      <w:pPr>
        <w:spacing w:after="0" w:line="214"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Human capital is critical to our success. Our overarching human capital resource strategy is to recruit, hire, incentivize and retain employees consistent with our stage of operations and strategic objectives. We believe we offer our employees compensation that is competitive and consistent with the markets in which we operate, namely the Greater Boston metropolitan area. We supplement base cash employee compensation with awards of stock options and/or restricted stock units under our equity incentive plans. We review employee performance annually and our Compensation Committee approves associated merit increases and annual incentive bonus payments during the first quarter of the year annually. When needed, we augment our employee base with outside consultants who specialize in various fields.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 and Trademarks</w:t>
      </w:r>
    </w:p>
    <w:p>
      <w:pPr>
        <w:spacing w:after="0" w:line="2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2010 under the name Arsanis Inc. Following the merger with X4 Therapeutics Inc. (formerly X4 Pharmaceuticals Inc.) on March 13, 2019, we changed our name to X4 Pharmaceuticals, Inc. Our principal executive offices are located at 61 North Beacon Street, 4th Floor, Boston, Massachusetts 02134 and our telephone number is (857) 529-8300.</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view our operations and measure our business as one reportable segment. All of the Company’s tangible assets are held in the United States. Refer to Note 2, Summary of Significant Accounting Policies, to our financial statements appearing elsewhere in this Annual Report on Form 10-K for additional information.</w:t>
      </w:r>
    </w:p>
    <w:p>
      <w:pPr>
        <w:spacing w:after="0" w:line="20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own or have rights to various trademarks, service marks and trade names that we use in connection with the operation of our business. This Annual Report on Form 10-K may also contain trademarks, service marks and trade names of third parties, which are the property of their respective owners. Our use or display of third parties’ trademarks, service marks, trade names or products in this Annual Report on Form 10-K is not intended to, and does not imply a relationship with, or endorsement or sponsorship by us. Solely for convenience, the trademarks, service marks and trade names referred to in this Annual Report on Form 10-K may appear without the ®, ™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We maintain a website at http://www.x4pharma.com. Our annual reports on Form 10-K, quarterly reports on Form 10-Q, proxy statements, current reports on Form 8-K and amendments to those reports filed or furnished pursuant to Section 13(a) or 15(d) of the Exchange Act are available free of charge on our website as soon as reasonably practicable after electronically filing such reports with the SEC. Such reports and other information may be accessed through the SEC’s website at www.sec.gov. We do not incorporate the information on or accessible through our website into this Annual Report on Form 10-K, and you should not consider any information on, or that can be accessed through, our website to be part of this Annual Report on Form 10-K. We have included our website address in this Annual Report on Form 10-K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7" w:name="page28"/>
    <w:bookmarkEnd w:id="27"/>
    <w:p>
      <w:pPr>
        <w:spacing w:after="0" w:line="27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following information about these risks, together with the other information appearing elsewhere in this Annual Report, including our audited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4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 Item 1A of this Annual Report. Some of the more significant risks include the following:</w:t>
      </w:r>
    </w:p>
    <w:p>
      <w:pPr>
        <w:spacing w:after="0" w:line="204" w:lineRule="exact"/>
        <w:rPr>
          <w:sz w:val="20"/>
          <w:szCs w:val="20"/>
          <w:color w:val="auto"/>
        </w:rPr>
      </w:pPr>
    </w:p>
    <w:p>
      <w:pPr>
        <w:ind w:left="640" w:hanging="316"/>
        <w:spacing w:after="0" w:line="267"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and have not generated significant revenue from product sales since our inception and we cannot predict whether or when and if we will be able to generate meaningful revenues from sales of XOLREMDI at levels or on timing necessary to support our operational costs and commercial goals. Our ability to generate revenue and become profitable depends upon our ability to successfully commercialize XOLREMDI and to obtain marketing approval and commercialize of our product candidates, including mavorixafor, or other product candidates that we may develop, in-license or acquire in the future. Even if we are able to successfully achieve regulatory approval for these potential product candidates, we are unable to predict the extent of any future losses and do not know when any of these potential product candidates will generate revenue for us, if at all. We expect to continue to incur losses for the foreseeable future, and we may never achieve or maintain profitability.</w:t>
      </w:r>
    </w:p>
    <w:p>
      <w:pPr>
        <w:spacing w:after="0" w:line="200" w:lineRule="exact"/>
        <w:rPr>
          <w:rFonts w:ascii="Times New Roman" w:cs="Times New Roman" w:eastAsia="Times New Roman" w:hAnsi="Times New Roman"/>
          <w:sz w:val="17"/>
          <w:szCs w:val="17"/>
          <w:color w:val="auto"/>
        </w:rPr>
      </w:pPr>
    </w:p>
    <w:p>
      <w:pPr>
        <w:ind w:left="640" w:right="18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position raises substantial doubt about our ability to continue as a going concern and we will require substantial additional funding. If we are unable to raise capital when needed, we could be forced to delay, reduce or eliminate any product development programs or commercialization efforts.</w:t>
      </w:r>
    </w:p>
    <w:p>
      <w:pPr>
        <w:spacing w:after="0" w:line="204"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investors, restrict our operations or require us to relinquish rights to our technologies or product candidates. Future debt obligations may expose us to risks that could adversely affect our business, operating results and financial condition and may result in further dilution to our stockholders.</w:t>
      </w:r>
    </w:p>
    <w:p>
      <w:pPr>
        <w:spacing w:after="0" w:line="204" w:lineRule="exact"/>
        <w:rPr>
          <w:rFonts w:ascii="Times New Roman" w:cs="Times New Roman" w:eastAsia="Times New Roman" w:hAnsi="Times New Roman"/>
          <w:sz w:val="18"/>
          <w:szCs w:val="18"/>
          <w:color w:val="auto"/>
        </w:rPr>
      </w:pPr>
    </w:p>
    <w:p>
      <w:pPr>
        <w:ind w:left="640" w:right="40" w:hanging="316"/>
        <w:spacing w:after="0" w:line="282"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almost entirely on the success of our commercial product, XOLREMDI and on our development product candidate, mavorixafor, which we are advancing for the potential treatment of other chronic neutropenic disorders. We cannot be certain that we will be able to obtain regulatory approval for or successfully commercialize, mavorixafor for other chronic neutropenic disorders or any other product candidate for other indications.</w:t>
      </w:r>
    </w:p>
    <w:p>
      <w:pPr>
        <w:spacing w:after="0" w:line="185" w:lineRule="exact"/>
        <w:rPr>
          <w:rFonts w:ascii="Times New Roman" w:cs="Times New Roman" w:eastAsia="Times New Roman" w:hAnsi="Times New Roman"/>
          <w:sz w:val="17"/>
          <w:szCs w:val="17"/>
          <w:color w:val="auto"/>
        </w:rPr>
      </w:pPr>
    </w:p>
    <w:p>
      <w:pPr>
        <w:ind w:left="640" w:right="8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and approval processes of the FDA and comparable foreign regulatory authorities are lengthy, time-consuming and inherently unpredictable, and if we are ultimately unable to obtain regulatory approval for our commercial product, XOLREMDI and product candidates, including additional indications for mavorixafor, our business will be substantially harmed.</w:t>
      </w:r>
    </w:p>
    <w:p>
      <w:pPr>
        <w:spacing w:after="0" w:line="204" w:lineRule="exact"/>
        <w:rPr>
          <w:rFonts w:ascii="Times New Roman" w:cs="Times New Roman" w:eastAsia="Times New Roman" w:hAnsi="Times New Roman"/>
          <w:sz w:val="18"/>
          <w:szCs w:val="18"/>
          <w:color w:val="auto"/>
        </w:rPr>
      </w:pPr>
    </w:p>
    <w:p>
      <w:pPr>
        <w:jc w:val="both"/>
        <w:ind w:left="640" w:right="160" w:hanging="316"/>
        <w:spacing w:after="0" w:line="259"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license agreements, including a license agreement with Genzyme, to permit us to use patents and patent applications. Termination of these rights or the failure to comply with obligations under these agreements could materially harm our business and prevent us from developing or commercializing our product candidates.</w:t>
      </w:r>
    </w:p>
    <w:p>
      <w:pPr>
        <w:spacing w:after="0" w:line="204" w:lineRule="exact"/>
        <w:rPr>
          <w:rFonts w:ascii="Times New Roman" w:cs="Times New Roman" w:eastAsia="Times New Roman" w:hAnsi="Times New Roman"/>
          <w:sz w:val="18"/>
          <w:szCs w:val="18"/>
          <w:color w:val="auto"/>
        </w:rPr>
      </w:pPr>
    </w:p>
    <w:p>
      <w:pPr>
        <w:ind w:left="640" w:right="58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commercial opportunity for mavorixafor in WHIM syndrome and other chronic neutropenic disorders is smaller than we anticipate, our potential future revenue from mavorixafor may be adversely affected and our business may suffer.</w:t>
      </w:r>
    </w:p>
    <w:p>
      <w:pPr>
        <w:spacing w:after="0" w:line="189"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60" w:lineRule="exact"/>
        <w:rPr>
          <w:sz w:val="20"/>
          <w:szCs w:val="20"/>
          <w:color w:val="auto"/>
        </w:rPr>
      </w:pPr>
    </w:p>
    <w:p>
      <w:pPr>
        <w:ind w:left="640" w:right="44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that have received regulatory approval may still face future development and regulatory difficulties and any approved products will be subject to extensive post-approval regulatory requirements. Additionally, any product candidate for which we obtain marketing approval could be subject to marketing restrictions or withdrawal from the market and we may be subject to penalties if we fail to comply with regulatory requirements or if we experience unanticipated problems with our products.</w:t>
      </w:r>
    </w:p>
    <w:p>
      <w:pPr>
        <w:spacing w:after="0" w:line="206"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other domestic and foreign regulatory agencies actively enforce the laws and regulations prohibiting the promotion of off-label uses. If we are found or alleged to have improperly promoted off-label uses, we may become subject to significant liability.</w:t>
      </w:r>
    </w:p>
    <w:p>
      <w:pPr>
        <w:spacing w:after="0" w:line="189" w:lineRule="exact"/>
        <w:rPr>
          <w:rFonts w:ascii="Times New Roman" w:cs="Times New Roman" w:eastAsia="Times New Roman" w:hAnsi="Times New Roman"/>
          <w:sz w:val="18"/>
          <w:szCs w:val="18"/>
          <w:color w:val="auto"/>
        </w:rPr>
      </w:pPr>
    </w:p>
    <w:p>
      <w:pPr>
        <w:ind w:left="640" w:right="76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products may become subject to unfavorable pricing regulations, third-party reimbursement practices or healthcare reform initiatives, which would harm our business.</w:t>
      </w:r>
    </w:p>
    <w:p>
      <w:pPr>
        <w:spacing w:after="0" w:line="189" w:lineRule="exact"/>
        <w:rPr>
          <w:rFonts w:ascii="Times New Roman" w:cs="Times New Roman" w:eastAsia="Times New Roman" w:hAnsi="Times New Roman"/>
          <w:sz w:val="18"/>
          <w:szCs w:val="18"/>
          <w:color w:val="auto"/>
        </w:rPr>
      </w:pPr>
    </w:p>
    <w:p>
      <w:pPr>
        <w:ind w:left="640" w:right="60" w:hanging="316"/>
        <w:spacing w:after="0" w:line="25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manufacturing our product candidates on a large clinical or commercial scale and have no manufacturing facility. We are currently dependent on a single third-party manufacturer for the manufacture of mavorixafor, the active pharmaceutical ingredient (“API”) and a single manufacturer of mavorixafor finished drug product capsules. If we experience problems with these third parties, the manufacturing of mavorixafor could be delayed, which could harm our results of operations.</w:t>
      </w:r>
    </w:p>
    <w:p>
      <w:pPr>
        <w:spacing w:after="0" w:line="206" w:lineRule="exact"/>
        <w:rPr>
          <w:rFonts w:ascii="Times New Roman" w:cs="Times New Roman" w:eastAsia="Times New Roman" w:hAnsi="Times New Roman"/>
          <w:sz w:val="18"/>
          <w:szCs w:val="18"/>
          <w:color w:val="auto"/>
        </w:rPr>
      </w:pPr>
    </w:p>
    <w:p>
      <w:pPr>
        <w:ind w:left="640" w:right="6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research organizations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rights, our competitive position could be harmed.</w:t>
      </w:r>
    </w:p>
    <w:p>
      <w:pPr>
        <w:spacing w:after="0" w:line="243"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loan contains restrictions that limit our flexibility in operating our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42"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have not generated significant revenue from product sales since our inception. We expect to continue to incur losses for the foreseeable future and we may never achieve or maintain profitability.</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a commercial-stage biopharmaceutical company.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become commercially viable, or maintain commercial viability. Since inception, other than during the three and nine months ended September 30, 2024, we have incurred significant operating losses. Our net losses were $37.5 million, $101.2 million, and $93.9 million for the years ended December 31, 2024, 2023, and 2022, respectively, and we generated negative operating cash flows in each of these periods. As of December 31, 2024, we had an accumulated deficit of $515.4 million. To date, we have funded our operations to date primarily with proceeds from sales of common stock, warrants, and prefunded warrants for the purchase of our preferred stock and our common stock, sales of preferred stock, proceeds from the issuance of convertible debt, and borrowings under loan and security agreements. We have one product approved for commercial sale, XOLREMDI, upon which we depend almost entirely on to produce revenue. XOLREMDI, which has been approved for WHIM syndrome in the U.S., faces an unknown market size and growth potential and we have not generated significant revenue from product sales to date, and we may never achieve profitability.</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at least the next several years as we conduct additional clinical trials for our product candidates; continue to discover and develop additional product candidates; acquire or in-license other product candidates and technologies; maintain, expand and protect our intellectual property portfolio; hire additional clinical, scientific and commercial personnel; establish a commercial manufacturing source and secure supply chain capacity sufficient to provide commercial quantities of any product candidates for which we may obtain regulatory approval; seek regulatory approvals for any product candidates that successfully complete clinical trials; further grow a sales, marketing and distribution infrastructure to commercialize XOLREMDI and any other products for which we may obtain regulatory approval; and add operational, financial and management information systems and personnel, including personnel to support our product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right="20"/>
        <w:spacing w:after="0" w:line="259" w:lineRule="auto"/>
        <w:rPr>
          <w:sz w:val="20"/>
          <w:szCs w:val="20"/>
          <w:color w:val="auto"/>
        </w:rPr>
      </w:pPr>
      <w:r>
        <w:rPr>
          <w:rFonts w:ascii="Times New Roman" w:cs="Times New Roman" w:eastAsia="Times New Roman" w:hAnsi="Times New Roman"/>
          <w:sz w:val="18"/>
          <w:szCs w:val="18"/>
          <w:color w:val="auto"/>
        </w:rPr>
        <w:t>development and planned future commercialization efforts. We may encounter unforeseen expenses, difficulties, complications, delays, and/or other unknown factors that may adversely affect our business. The size of our future net losses will depend, in part, on the rate of future growth of our expenses and our ability to generate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generate profits from operations and thereafter to remain profitable depends heavily on:</w:t>
      </w:r>
    </w:p>
    <w:p>
      <w:pPr>
        <w:spacing w:after="0" w:line="111" w:lineRule="exact"/>
        <w:rPr>
          <w:sz w:val="20"/>
          <w:szCs w:val="20"/>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XOLREMDI;</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and timing of regulatory reviews, approvals and other actions;</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any approved products on commercially reasonable terms;</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sales and marketing organization or suitable third-party alternatives for any approved products;</w:t>
      </w:r>
    </w:p>
    <w:p>
      <w:pPr>
        <w:spacing w:after="0" w:line="111" w:lineRule="exact"/>
        <w:rPr>
          <w:rFonts w:ascii="Times New Roman" w:cs="Times New Roman" w:eastAsia="Times New Roman" w:hAnsi="Times New Roman"/>
          <w:sz w:val="18"/>
          <w:szCs w:val="18"/>
          <w:color w:val="auto"/>
        </w:rPr>
      </w:pPr>
    </w:p>
    <w:p>
      <w:pPr>
        <w:ind w:left="1600" w:right="440" w:hanging="322"/>
        <w:spacing w:after="0" w:line="259" w:lineRule="auto"/>
        <w:tabs>
          <w:tab w:leader="none" w:pos="15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number, progress, duration, endpoints, cost, results and timing of clinical trials and nonclinical studies of our current or potential future product candidates, including in particular the scope, progress, duration, endpoints, cost, results and timing for completion of our Phase 3 clinical trial of mavorixafor for the treatment of chronic neutropenic disorders;</w:t>
      </w:r>
    </w:p>
    <w:p>
      <w:pPr>
        <w:spacing w:after="0" w:line="7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funds to support the development and potential commercialization of our product candidates;</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approved product and obtain marketing approval for our product candidates;</w:t>
      </w:r>
    </w:p>
    <w:p>
      <w:pPr>
        <w:spacing w:after="0" w:line="111" w:lineRule="exact"/>
        <w:rPr>
          <w:rFonts w:ascii="Times New Roman" w:cs="Times New Roman" w:eastAsia="Times New Roman" w:hAnsi="Times New Roman"/>
          <w:sz w:val="18"/>
          <w:szCs w:val="18"/>
          <w:color w:val="auto"/>
        </w:rPr>
      </w:pPr>
    </w:p>
    <w:p>
      <w:pPr>
        <w:ind w:left="1600" w:right="20" w:hanging="322"/>
        <w:spacing w:after="0" w:line="274" w:lineRule="auto"/>
        <w:tabs>
          <w:tab w:leader="none" w:pos="15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57"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other business, product or technology that we acquire or in which we invest;</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and programs that we pursue;</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35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we have obtained marketing approval for, and have begun to commercialize one of our product candidates, we may never generate revenues that are significant enough to generate profits from operations. Even if we do generate profits from operations, we may not be able to sustain or increase profitability on a quarterly or annual basis. Our failure to generate profits from operations and remain profitable would decrease our value and could impair our ability to raise capital, expand our business, maintain our research and development efforts, diversify our product offerings or continue our operations. A decline in our value could also cause you to lose all or part of your investment.</w:t>
      </w:r>
    </w:p>
    <w:p>
      <w:pPr>
        <w:spacing w:after="0" w:line="18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and unknown factors that may alter or delay our plans. As we have completed the development of and obtained marketing approval in the U.S. for mavorixafor,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plan and liquidity position will require substantial additional funding. Our history of recurring losses and</w:t>
      </w:r>
    </w:p>
    <w:p>
      <w:pPr>
        <w:spacing w:after="0" w:line="2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anticipated expenditures could raise substantial doubts about our ability to continue as a going concern. If we are unable to raise capital when needed, we could be forced to delay, reduce or eliminate any product development programs or commercialization efforts.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may be forced to delay or reduce the scope of our development programs and/or limit or cease our operations if we are unable to obtain additional funding to support our current operating plan.</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30" w:name="page31"/>
    <w:bookmarkEnd w:id="30"/>
    <w:p>
      <w:pPr>
        <w:spacing w:after="0" w:line="19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operations have consumed a large amount of cash since inception. To date, we have funded our operations primarily with proceeds from sales of common stock, warrants and prefunded warrants for the purchase of our preferred stock and our common stock, sales of preferred stock, proceeds from the issuance of convertible debt and borrowings under loan and security agreements. We expect to continue to incur research and development expenses as we continue to advance the clinical development of our product candidates and prepare for the launch and commercialization of any product candidates for which we receive regulatory approval. We expect to incur significant commercialization expenses related to product sales, marketing, distribution and manufacturing. Furthermore, we expect to incur additional costs associated with operating as a public company.</w:t>
      </w:r>
    </w:p>
    <w:p>
      <w:pPr>
        <w:spacing w:after="0" w:line="21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As of December 31, 2024, we have cash and cash equivalents of $55.7 million and short-term marketable securities of $46.4 million. Although we have an approved drug product, sales of our drug product over the next 12 months will not be sufficient to fund our operating expenses. Our ability to continue as a going concern will require us to obtain additional funding. If we are unable to obtain sufficient funding, our business, prospects, financial condition and results of operations will be materially and adversely affected, and we may be unable to continue as a going concern. We will require additional capital to sustain our operations, and to carry out our business plans thereafter, which may include raising funds through public or private equity or debt financings, third-party funding, marketing and distribution arrangements, as well as other collaborations, strategic alliances and licensing arrangements, or any combination of these approaches. If we are unable to raise capital when needed or on acceptable terms, we would be forced to delay, limit, reduce, restructure or terminate our product development or future commercialization efforts of one or more of our product candidates, or may be forced to reduce, restructure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In our own future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exists substantial doubt about our ability to continue as a going concern, investors or other financing sources may be unwilling to provide additional funding to us on commercially reasonable terms, if at all.</w:t>
      </w:r>
    </w:p>
    <w:p>
      <w:pPr>
        <w:spacing w:after="0" w:line="20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Although we announced in February 2025 that, as part of our 2025 Restructuring, we expect to decrease annual spending by approximately $30–35 million and believe this will provide sufficient funds to support operations into the first half of 2026, there can be no assurance that these initiatives will be successful or that the anticipated funding will be adequate, which could materially affect our future operations.</w:t>
      </w:r>
    </w:p>
    <w:p>
      <w:pPr>
        <w:spacing w:after="0" w:line="20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While we have successfully raised capital in the past, our ability to raise capital in future periods is not assured. We will also require additional capital to satisfy the covenant under our existing debt facility with Hercules Capital, Inc. and certain affiliated entities (“Hercules”) that requires that we maintain a minimum level of cash at a level greater than 20% of our outstanding borrowings under the Loan and Security Agreement, as most recently amended in August 2023 with Hercules Capital, Inc. (the “Hercules Loan Agreement”) and subject to certain operational covenants. Based on our current cash flow projections, excluding additional sources of external financing, we anticipate that we will not be able to maintain the minimum cash required to satisfy this covenant for at least the next 12 month period following the issuance of these consolidated financial statement. See also the risk factor titled “</w:t>
      </w:r>
      <w:r>
        <w:rPr>
          <w:rFonts w:ascii="Times New Roman" w:cs="Times New Roman" w:eastAsia="Times New Roman" w:hAnsi="Times New Roman"/>
          <w:sz w:val="18"/>
          <w:szCs w:val="18"/>
          <w:i w:val="1"/>
          <w:iCs w:val="1"/>
          <w:color w:val="auto"/>
        </w:rPr>
        <w:t>Our term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contains restrictions that limit our flexibility in operating our business</w:t>
      </w:r>
      <w:r>
        <w:rPr>
          <w:rFonts w:ascii="Times New Roman" w:cs="Times New Roman" w:eastAsia="Times New Roman" w:hAnsi="Times New Roman"/>
          <w:sz w:val="18"/>
          <w:szCs w:val="18"/>
          <w:color w:val="auto"/>
        </w:rPr>
        <w:t>” below.</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finance our future operations, we will need to raise additional capital, which cannot be assured. We cannot be certain that additional funding will be available on acceptable terms, or at all. If we are unable to raise additional capital when needed or in sufficient amounts or on terms acceptable to us, we could be forced to delay, reduce or eliminate our research and development programs or any future commercialization efforts of one or more of our product candidates or one or more of our other research and development initiatives.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could be required to:</w:t>
      </w:r>
    </w:p>
    <w:p>
      <w:pPr>
        <w:spacing w:after="0" w:line="111" w:lineRule="exact"/>
        <w:rPr>
          <w:sz w:val="20"/>
          <w:szCs w:val="20"/>
          <w:color w:val="auto"/>
        </w:rPr>
      </w:pPr>
    </w:p>
    <w:p>
      <w:pPr>
        <w:ind w:left="1520" w:right="100" w:hanging="242"/>
        <w:spacing w:after="0" w:line="274" w:lineRule="auto"/>
        <w:tabs>
          <w:tab w:leader="none" w:pos="15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new or additional collaborators for one or more of our current or future product candidates at an earlier stage than otherwise would be desirable or on terms that are less favorable than might otherwise be available; or</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60" w:lineRule="exact"/>
        <w:rPr>
          <w:sz w:val="20"/>
          <w:szCs w:val="20"/>
          <w:color w:val="auto"/>
        </w:rPr>
      </w:pPr>
    </w:p>
    <w:p>
      <w:pPr>
        <w:ind w:left="1520" w:right="240" w:hanging="242"/>
        <w:spacing w:after="0" w:line="274" w:lineRule="auto"/>
        <w:tabs>
          <w:tab w:leader="none" w:pos="15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product candidates that we otherwise would seek to develop or commercialize ourselves.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near and long-term, will depend on many factors, including, but not limited to:</w:t>
      </w:r>
    </w:p>
    <w:p>
      <w:pPr>
        <w:spacing w:after="0" w:line="111" w:lineRule="exact"/>
        <w:rPr>
          <w:sz w:val="20"/>
          <w:szCs w:val="20"/>
          <w:color w:val="auto"/>
        </w:rPr>
      </w:pPr>
    </w:p>
    <w:p>
      <w:pPr>
        <w:ind w:left="1520" w:hanging="242"/>
        <w:spacing w:after="0" w:line="259"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reviews, approvals or other actions to meet regulatory requirements established by the FDA and comparable foreign regulatory authorities, including the potential for the FDA or comparable foreign regulatory authorities to require that we perform more studies for our product candidates than those that we currently expect;</w:t>
      </w:r>
    </w:p>
    <w:p>
      <w:pPr>
        <w:spacing w:after="0" w:line="7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including for additional indications;</w:t>
      </w:r>
    </w:p>
    <w:p>
      <w:pPr>
        <w:spacing w:after="0" w:line="111" w:lineRule="exact"/>
        <w:rPr>
          <w:rFonts w:ascii="Times New Roman" w:cs="Times New Roman" w:eastAsia="Times New Roman" w:hAnsi="Times New Roman"/>
          <w:sz w:val="18"/>
          <w:szCs w:val="18"/>
          <w:color w:val="auto"/>
        </w:rPr>
      </w:pPr>
    </w:p>
    <w:p>
      <w:pPr>
        <w:ind w:left="1520" w:right="440" w:hanging="242"/>
        <w:spacing w:after="0" w:line="274"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exclusive licensing and supply agreement which Norgine and any potential regulatory and commercial milestone payments that we may receive under that agreement;</w:t>
      </w:r>
    </w:p>
    <w:p>
      <w:pPr>
        <w:spacing w:after="0" w:line="57" w:lineRule="exact"/>
        <w:rPr>
          <w:rFonts w:ascii="Times New Roman" w:cs="Times New Roman" w:eastAsia="Times New Roman" w:hAnsi="Times New Roman"/>
          <w:sz w:val="18"/>
          <w:szCs w:val="18"/>
          <w:color w:val="auto"/>
        </w:rPr>
      </w:pPr>
    </w:p>
    <w:p>
      <w:pPr>
        <w:ind w:left="1520" w:right="180" w:hanging="242"/>
        <w:spacing w:after="0" w:line="274"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number, initiation, progress, timing, costs, design, duration, any potential delays, and results of clinical trials and nonclinical studies for our current or future product candidates;</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and programs that we develop or may in-license;</w:t>
      </w:r>
    </w:p>
    <w:p>
      <w:pPr>
        <w:spacing w:after="0" w:line="111" w:lineRule="exact"/>
        <w:rPr>
          <w:rFonts w:ascii="Times New Roman" w:cs="Times New Roman" w:eastAsia="Times New Roman" w:hAnsi="Times New Roman"/>
          <w:sz w:val="18"/>
          <w:szCs w:val="18"/>
          <w:color w:val="auto"/>
        </w:rPr>
      </w:pPr>
    </w:p>
    <w:p>
      <w:pPr>
        <w:ind w:left="1520" w:right="160" w:hanging="242"/>
        <w:spacing w:after="0" w:line="259"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 covering our product candidates, including any such patent claims and intellectual property rights that we have licensed from Genzyme pursuant to the terms of our license agreement with Genzyme or from other third parties;</w:t>
      </w:r>
    </w:p>
    <w:p>
      <w:pPr>
        <w:spacing w:after="0" w:line="71" w:lineRule="exact"/>
        <w:rPr>
          <w:rFonts w:ascii="Times New Roman" w:cs="Times New Roman" w:eastAsia="Times New Roman" w:hAnsi="Times New Roman"/>
          <w:sz w:val="18"/>
          <w:szCs w:val="18"/>
          <w:color w:val="auto"/>
        </w:rPr>
      </w:pPr>
    </w:p>
    <w:p>
      <w:pPr>
        <w:ind w:left="1520" w:right="300" w:hanging="242"/>
        <w:spacing w:after="0" w:line="274"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cost of defending intellectual property disputes, including patent infringement actions brought by third parties against us or our product candidates;</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 with respect to our product candidates;</w:t>
      </w:r>
    </w:p>
    <w:p>
      <w:pPr>
        <w:spacing w:after="0" w:line="111" w:lineRule="exact"/>
        <w:rPr>
          <w:rFonts w:ascii="Times New Roman" w:cs="Times New Roman" w:eastAsia="Times New Roman" w:hAnsi="Times New Roman"/>
          <w:sz w:val="18"/>
          <w:szCs w:val="18"/>
          <w:color w:val="auto"/>
        </w:rPr>
      </w:pPr>
    </w:p>
    <w:p>
      <w:pPr>
        <w:ind w:left="1520" w:right="140" w:hanging="242"/>
        <w:spacing w:after="0" w:line="274"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57" w:lineRule="exact"/>
        <w:rPr>
          <w:rFonts w:ascii="Times New Roman" w:cs="Times New Roman" w:eastAsia="Times New Roman" w:hAnsi="Times New Roman"/>
          <w:sz w:val="18"/>
          <w:szCs w:val="18"/>
          <w:color w:val="auto"/>
        </w:rPr>
      </w:pPr>
    </w:p>
    <w:p>
      <w:pPr>
        <w:ind w:left="1520" w:right="340" w:hanging="242"/>
        <w:spacing w:after="0" w:line="274"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other business, product or technology that we acquire or in which we invest;</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and scientific and medical personnel;</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to the extent any are approved for commercial sale;</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and</w:t>
      </w:r>
    </w:p>
    <w:p>
      <w:pPr>
        <w:spacing w:after="0" w:line="111" w:lineRule="exact"/>
        <w:rPr>
          <w:rFonts w:ascii="Times New Roman" w:cs="Times New Roman" w:eastAsia="Times New Roman" w:hAnsi="Times New Roman"/>
          <w:sz w:val="18"/>
          <w:szCs w:val="18"/>
          <w:color w:val="auto"/>
        </w:rPr>
      </w:pPr>
    </w:p>
    <w:p>
      <w:pPr>
        <w:ind w:left="1520" w:right="440" w:hanging="242"/>
        <w:spacing w:after="0" w:line="274" w:lineRule="auto"/>
        <w:tabs>
          <w:tab w:leader="none" w:pos="15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pandemics and public health emergencies, geopolitical actions, including war and terrorism or natural disasters including earthquakes, typhoons, floods and fires.</w:t>
      </w:r>
    </w:p>
    <w:p>
      <w:pPr>
        <w:spacing w:after="0" w:line="159" w:lineRule="exact"/>
        <w:rPr>
          <w:sz w:val="20"/>
          <w:szCs w:val="20"/>
          <w:color w:val="auto"/>
        </w:rPr>
      </w:pPr>
    </w:p>
    <w:p>
      <w:pPr>
        <w:jc w:val="both"/>
        <w:ind w:right="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investors, restrict our operations or require us to relinquish rights to our technologies or product candidates. Future debt obligations may expose us to risks that could adversely affect our business, operating results and financial condition and may result in further dilution to our stockholders.</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public or private equity or debt financings, third-party funding, marketing and distribution arrangements, as well as other collaborations, strategic alliances and licensing arrangements, or any combination of these approaches. Other than our common stock purchase agreement with Lincoln Park Capital Fund LLC (“Lincoln Park”), pursuant to which Lincoln Park is obligated, subject to certain limitations and conditions, to purchase up to a remaining $47.0 million in the aggregate of shares of our common stock, we do not have any committed external sources of funds and may seek to raise additional capital at any time. To the extent that we raise additional capital through the sale of equity or convertible debt securities, your ownership interest will be diluted, and the terms 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7"/>
          <w:szCs w:val="17"/>
          <w:color w:val="auto"/>
        </w:rPr>
        <w:t>these securities may include liquidation or other preferences that adversely affect your rights as a holder of our common stock. Debt financing, if available, may involve agreements that include covenants limiting or restricting our ability to take specific actions, such as incurring additional debt, making capital expenditures, declaring dividends or other distributions, acquiring or licensing intellectual property rights and other operating restrictions that could adversely impact our ability to conduct our business and may result in liens being placed on additional assets such as intellectual property. For example, our</w:t>
      </w:r>
    </w:p>
    <w:p>
      <w:pPr>
        <w:spacing w:after="0" w:line="1"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debt facility with Hercules contains a minimum cash financial covenant. If we default on such indebtedness, with Hercules or a future lender, we could be required to pledge additional assets, or the lenders could enforce remedies on the current collateral.</w:t>
      </w:r>
    </w:p>
    <w:p>
      <w:pPr>
        <w:spacing w:after="0" w:line="21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If we raise additional funds through licensing, collaboration or similar arrangements with third parties, we may have to relinquish valuable rights to our technologies, future revenue streams, research and development programs or product candidates or grant licenses on terms that are not favorable to us. If we are unable to raise additional funds through equity or debt financings or through licensing, collaboration or similar arrangements when needed, we may be required to delay, limit, reduce, restructure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 regarding fair value of intangible assets may result in an adverse impact on our results of operations.</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test our goodwill for impairment annually or more frequently if changes in circumstances or the occurrence of events suggest impairment exists. Any significant change in market conditions, including a sustained decline in our stock price, that indicate a reduction in carrying value may give rise to impairment in the period that the change becomes known. For example, as of December 31, 2021, our market capitalization, measured as the price of our common stock multiplied by shares of common stock outstanding, declined to below the value of our net assets, including goodwill. As a result of the sustained decline in the market price of our common stock, the fair value of our single reporting unit, measured based on our market capitalization as of December 31, 2021, was lower than its carrying value and we concluded that goodwill was impaired. Accordingly, we recorded an impairment charge of $9.8 million to reduce the carrying amount of goodwill to $17.4 million as of December 31, 2021. While we determined that goodwill was not impaired based on our quantitative test as of December 31, 2024, future declines in the market value of our common stock and additional funding may result in additional impairment charges being recorded.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of Our Product Candidates</w:t>
      </w:r>
    </w:p>
    <w:p>
      <w:pPr>
        <w:spacing w:after="0" w:line="242"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revenues from product sales since inception and may never become profitable. We may never be able to generate meaningful revenues from sales of XOLREMDI at levels or on timing necessary to support our investment and goals.</w:t>
      </w:r>
    </w:p>
    <w:p>
      <w:pPr>
        <w:spacing w:after="0" w:line="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To date, we have not generated significant revenues from product sales and cannot predict whether or when we will be able to generate meaningful revenues from sales of XOLREMDI at levels or on timing necessary to support our investment and</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goals. Our ability to generate revenue and become profitable depends upon our ability to successfully commercialize XOLREMDI and to obtain marketing approval and commercialize our product candidates, including mavorixafor, or other product candidates that we may develop, in-license or acquire in the future. Even if we are able to successfully achieve regulatory approval for these product candidates, we are unable to predict the extent of any future losses and do not know when any of these product candidates will generate revenue for us, if at all. Our ability to generate revenue from XOLREMDI, mavorixafor or any of our current or future product candidates also depends on a number of additional factors, including but not limited to our ability to:</w:t>
      </w:r>
    </w:p>
    <w:p>
      <w:pPr>
        <w:spacing w:after="0" w:line="1"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all necessary nonclinical studies and clinical trials;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New Drug Applications to the FDA and obtain regulatory approval for indications for which there is a commercial market;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marketing applications to, and obtain regulatory approval from, foreign regulatory authorities;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and obtain a commercially viable price for our products;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commercial quantities of our products at acceptable cost levels;</w:t>
      </w:r>
    </w:p>
    <w:p>
      <w:pPr>
        <w:spacing w:after="0" w:line="5" w:lineRule="exact"/>
        <w:rPr>
          <w:rFonts w:ascii="Times New Roman" w:cs="Times New Roman" w:eastAsia="Times New Roman" w:hAnsi="Times New Roman"/>
          <w:sz w:val="18"/>
          <w:szCs w:val="18"/>
          <w:color w:val="auto"/>
        </w:rPr>
      </w:pPr>
    </w:p>
    <w:p>
      <w:pPr>
        <w:ind w:left="640" w:right="80" w:hanging="316"/>
        <w:spacing w:after="0" w:line="24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 commercial organization capable of sales, marketing and distribution for the products we intend to sell ourselves in the markets in which we have retained commercialization rights;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collaborators to help us market, sell and distribute our approved products in other markets;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third-party, including government,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393" w:right="419" w:bottom="1440" w:gutter="0" w:footer="0" w:header="0"/>
        </w:sectPr>
      </w:pPr>
    </w:p>
    <w:bookmarkStart w:id="33" w:name="page34"/>
    <w:bookmarkEnd w:id="33"/>
    <w:p>
      <w:pPr>
        <w:ind w:right="100"/>
        <w:spacing w:after="0" w:line="250"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including the possibility that our product candidates may not advance through development or demonstrate safety and efficacy for their intended uses, the FDA or any other regulatory agency may require additional clinical trials or nonclinical studies. We are unable to predict the timing or amount of increased expenses, or when or if we will be able to achieve or maintain profitability, and such expense could increase beyond our expectations if the FDA or any other regulatory agency requires such additional clinical trials or nonclinical studies as part of the application and approval process or post-approval process if we are successful at achieving regulatory approval. Even if we are able to successfully complete the development and regulatory reviews described above, we anticipate incurring significant costs associated with commercializing these products, if they are approved.</w:t>
      </w:r>
    </w:p>
    <w:p>
      <w:pPr>
        <w:spacing w:after="0" w:line="2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Even if we are able to generate meaningful revenues from the sale of our product,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 If we do achieve profitability, we may not be able to sustain or increase profitability on a quarterly or annual basis. Our failure to become and remain profitable would decrease the value of the company and could impair our ability to raise capital, maintain our discovery and preclinical development efforts, expand our business or continue our operations and may require us to raise additional capital that may dilute your ownership interest. A decline in our value could also cause you to lose all or part of your investment.</w:t>
      </w:r>
    </w:p>
    <w:p>
      <w:pPr>
        <w:spacing w:after="0" w:line="20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mavorixafor in WHIM syndrome and other chronic neutropenic disorders is smaller than we anticipate, our potential future revenue from mavorixafor for the treatment of any of these diseases may be adversely affected and our business may suffer.</w:t>
      </w:r>
    </w:p>
    <w:p>
      <w:pPr>
        <w:spacing w:after="0" w:line="1"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18"/>
          <w:szCs w:val="18"/>
          <w:color w:val="auto"/>
        </w:rPr>
        <w:t>If the size of the commercial opportunities in any of our target indications is smaller than we anticipate, we may not be able to achieve profitability and growth. Our lead clinical candidate, mavorixafor, has been approved by the FDA for use as an oral,</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once-daily therapy to increase the number of circulating mature neutrophils and lymphocytes of patients aged 12 years and older with WHIM and is being developed as an oral, once-daily therapy for the potential treatment of other chronic neutropenic disorders. We are currently aware of only a few small available patient registries for WHIM syndrome, and we rely on various estimates and assumptions to estimate the addressable WHIM syndrome population. Based on a broad online survey of physicians to validate current prevalence estimates and additional research using artificial intelligence, which interrogated a database of more than 300 million anonymized patient records that spanned 10 years of insurance claims, we estimate there are up to 3,700 diagnosed and undiagnosed WHIM patients in the United States, many of whom were previously undiagnosed. If the commercial opportunity in any of our target indications, including WHIM syndrome is smaller than we anticipate, whether because our estimates of the addressable patient population prove to be incorrect or for other reasons, our potential future revenue from mavorixafor may be adversely affected and our business may suffer.</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It is critical to our ability to grow and become profitable that we successfully identify patients with WHIM syndrome and other chronic neutropenic disorders. Our projections of the number of people who have WHIM syndrome (or its other potential primary immunodeficiencies) and chronic neutropenic disorders are based on a variety of sources, including third-party estimates and analyses in the scientific literature, and may prove to be incorrect. Further, new information may emerge that changes our estimate of the prevalence of these diseases or the number of patient candidates for each disease. The effort to identify patients for treatment is at an early stage, and we cannot accurately predict the number of patients for whom treatment might be possible. Additionally, the addressable patient population for our indications may be limited or may not be amenable to treatment with mavorixafor, and new patients may become increasingly difficult to identify or gain access to, which would adversely affect our results of operations and our business.</w:t>
      </w:r>
    </w:p>
    <w:p>
      <w:pPr>
        <w:spacing w:after="0" w:line="77"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almost entirely on the success of our commercial product, XOLREMDI, which has been approved for use in patients 12 years of age and older with WHIM syndrome in the U.S., and on our lead product candidate, mavorixafor, which we are developing for the potential treatment of other chronic neutropenic disorders. We cannot be certain that we will be able to obtain regulatory approval for, or successfully commercialize, mavorixafor for chronic neutropenic disorders other than WHIM, or any other product candidate.</w:t>
      </w:r>
    </w:p>
    <w:p>
      <w:pPr>
        <w:spacing w:after="0" w:line="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business depends almost entirely on the successful clinical development, regulatory approval and commercialization of mavorixafor. We currently have only one product for sale, XOLREMDI, and may never be able to develop additional marketable drug products. The clinical trials of our product candidates are, and the manufacturing and marketing of our product candidates will be, subject to extensive and rigorous review and regulation by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4" w:name="page35"/>
    <w:bookmarkEnd w:id="34"/>
    <w:p>
      <w:pPr>
        <w:spacing w:after="0" w:line="60" w:lineRule="exact"/>
        <w:rPr>
          <w:sz w:val="20"/>
          <w:szCs w:val="20"/>
          <w:color w:val="auto"/>
        </w:rPr>
      </w:pPr>
    </w:p>
    <w:p>
      <w:pPr>
        <w:ind w:left="1520" w:hanging="242"/>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dosages that will be well-tolerated, safe and effective;</w:t>
      </w:r>
    </w:p>
    <w:p>
      <w:pPr>
        <w:spacing w:after="0" w:line="111" w:lineRule="exact"/>
        <w:rPr>
          <w:rFonts w:ascii="Times New Roman" w:cs="Times New Roman" w:eastAsia="Times New Roman" w:hAnsi="Times New Roman"/>
          <w:sz w:val="18"/>
          <w:szCs w:val="18"/>
          <w:color w:val="auto"/>
        </w:rPr>
      </w:pPr>
    </w:p>
    <w:p>
      <w:pPr>
        <w:ind w:left="1520" w:right="280" w:hanging="242"/>
        <w:spacing w:after="0" w:line="274" w:lineRule="auto"/>
        <w:tabs>
          <w:tab w:leader="none" w:pos="15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development and scale-up to permit manufacture of our product candidates in commercial quantities and at acceptable costs;</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through pivotal clinical trials that each product candidate is safe and effective in patients for the intended indication;</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 and</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w:t>
      </w:r>
    </w:p>
    <w:p>
      <w:pPr>
        <w:spacing w:after="0" w:line="21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time necessary to achieve these developmental milestones for any individual product candidate is long and uncertain, and we may not successfully complete these milestones for additional indications for mavorixafor or any other product candidates that we may develop. We also may not be able to finalize the design or formulation for our other programs. We may not be able to complete development of any additional product candidates that demonstrate safety and efficacy and that will have a commercially reasonable treatment and storage period. If we are unable to complete development for additional indications for mavorixafor or any other product candidates that we may develop, we will not be able to commercialize and earn revenue from them.</w:t>
      </w:r>
    </w:p>
    <w:p>
      <w:pPr>
        <w:spacing w:after="0" w:line="19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develop mavorixafor, and potentially future product candidates, in combination with other therapies, which could expose us to additional risks. </w:t>
      </w:r>
      <w:r>
        <w:rPr>
          <w:rFonts w:ascii="Times New Roman" w:cs="Times New Roman" w:eastAsia="Times New Roman" w:hAnsi="Times New Roman"/>
          <w:sz w:val="18"/>
          <w:szCs w:val="18"/>
          <w:color w:val="auto"/>
        </w:rPr>
        <w:t>We may develop mavorixafor, and may develop future product candidates, in combination with one or more currently approved therapies. Even though XOLREMDI received marketing approval,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diseases, and we would be subject to similar risks if we develop any of our product candidates for use in combination with other drugs. This could result in our own products being removed from the market or being less successful commercially.</w:t>
      </w:r>
    </w:p>
    <w:p>
      <w:pPr>
        <w:spacing w:after="0" w:line="21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We may also evaluate mavorixafor or any other future product candidates in combination with one or more other cancer therapies that have not yet been approved for marketing by the FDA or similar regulatory authorities outside of the United States. We will not be able to market and sell mavorixafor or any product candidate we develop in combination with any such unapproved therapies that do not ultimately obtain marketing approval.</w:t>
      </w:r>
    </w:p>
    <w:p>
      <w:pPr>
        <w:spacing w:after="0" w:line="204" w:lineRule="exact"/>
        <w:rPr>
          <w:sz w:val="20"/>
          <w:szCs w:val="20"/>
          <w:color w:val="auto"/>
        </w:rPr>
      </w:pPr>
    </w:p>
    <w:p>
      <w:pPr>
        <w:jc w:val="both"/>
        <w:ind w:right="320"/>
        <w:spacing w:after="0" w:line="259"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that we choose to evaluate in combination with mavorixafor or any product candidate we develop, we may be unable to obtain approval of or market mavorixafor or any product candidate we develop.</w:t>
      </w:r>
    </w:p>
    <w:p>
      <w:pPr>
        <w:spacing w:after="0" w:line="2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regulatory review and approval processes of the FDA and comparable foreign regulatory authorities are lengthy, time-consuming and inherently unpredictable, and if we are ultimately unable to obtain regulatory approval for our product candidates, including additional indications for mavorixafor, our business will be substantially harmed.</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not permitted to market mavorixafor or any other product candidate in the United States until we receive approval of an NDA from the FDA, or in any foreign countries until we receive the requisite approval from such countries or jurisdictions, such as approval of the marketing authorization application in the European Union from the European Commission. Our future NDA submissions may receive a refusal to file response from the FDA, and even if filed by the FDA, we may receive a Complete Response Letter rather than approval for commercial marketing. In addition, we may be required by the FDA to conduct additional clinical trials and/or nonclinical studies to support potential approval. Successfully completing clinical trials and obtaining approval of an NDA is a complex, lengthy, expensive and uncertain process, and the FDA, or a comparable foreign regulatory authority, may delay, limit or deny approval of mavorixafor for the treatment of other indications for many reasons, including, among others:</w:t>
      </w:r>
    </w:p>
    <w:p>
      <w:pPr>
        <w:spacing w:after="0" w:line="86" w:lineRule="exact"/>
        <w:rPr>
          <w:sz w:val="20"/>
          <w:szCs w:val="20"/>
          <w:color w:val="auto"/>
        </w:rPr>
      </w:pPr>
    </w:p>
    <w:p>
      <w:pPr>
        <w:ind w:left="1520" w:hanging="242"/>
        <w:spacing w:after="0"/>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and sufficiency of our clinical trials;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safety and efficacy of mavorixafor or any other product candidate for its proposed indications and that;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60" w:lineRule="exact"/>
        <w:rPr>
          <w:sz w:val="20"/>
          <w:szCs w:val="20"/>
          <w:color w:val="auto"/>
        </w:rPr>
      </w:pPr>
    </w:p>
    <w:p>
      <w:pPr>
        <w:ind w:left="1520" w:hanging="242"/>
        <w:spacing w:after="0"/>
        <w:tabs>
          <w:tab w:leader="none" w:pos="1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clinical and other benefits of mavorixafor or any other product candidate outweigh its safety risks;</w:t>
      </w:r>
    </w:p>
    <w:p>
      <w:pPr>
        <w:spacing w:after="0" w:line="111" w:lineRule="exact"/>
        <w:rPr>
          <w:rFonts w:ascii="Times New Roman" w:cs="Times New Roman" w:eastAsia="Times New Roman" w:hAnsi="Times New Roman"/>
          <w:sz w:val="18"/>
          <w:szCs w:val="18"/>
          <w:color w:val="auto"/>
        </w:rPr>
      </w:pPr>
    </w:p>
    <w:p>
      <w:pPr>
        <w:ind w:left="1520" w:right="560" w:hanging="242"/>
        <w:spacing w:after="0" w:line="274" w:lineRule="auto"/>
        <w:tabs>
          <w:tab w:leader="none" w:pos="15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manufacturing or control processes or failure of third-party manufacturing facilities with which we contract for clinical and commercial supplies to comply with current cGMPs;</w:t>
      </w:r>
    </w:p>
    <w:p>
      <w:pPr>
        <w:spacing w:after="0" w:line="57" w:lineRule="exact"/>
        <w:rPr>
          <w:rFonts w:ascii="Times New Roman" w:cs="Times New Roman" w:eastAsia="Times New Roman" w:hAnsi="Times New Roman"/>
          <w:sz w:val="18"/>
          <w:szCs w:val="18"/>
          <w:color w:val="auto"/>
        </w:rPr>
      </w:pPr>
    </w:p>
    <w:p>
      <w:pPr>
        <w:ind w:left="1520" w:right="20" w:hanging="242"/>
        <w:spacing w:after="0" w:line="274" w:lineRule="auto"/>
        <w:tabs>
          <w:tab w:leader="none" w:pos="15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data collected from clinical trials of mavorixafor or any other product candidate, or changes in the approval requirements that render its nonclinical and clinical data insufficient to support the filing of an NDA or to obtain regulatory approval; or</w:t>
      </w:r>
    </w:p>
    <w:p>
      <w:pPr>
        <w:spacing w:after="0" w:line="57" w:lineRule="exact"/>
        <w:rPr>
          <w:rFonts w:ascii="Times New Roman" w:cs="Times New Roman" w:eastAsia="Times New Roman" w:hAnsi="Times New Roman"/>
          <w:sz w:val="18"/>
          <w:szCs w:val="18"/>
          <w:color w:val="auto"/>
        </w:rPr>
      </w:pPr>
    </w:p>
    <w:p>
      <w:pPr>
        <w:ind w:left="1520" w:right="100" w:hanging="242"/>
        <w:spacing w:after="0" w:line="274" w:lineRule="auto"/>
        <w:tabs>
          <w:tab w:leader="none" w:pos="15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practice in or approved products available for the treatment of the target patient population that could have an impact on the indications that we are pursuing for mavorixafor or our other product candidates.</w:t>
      </w:r>
    </w:p>
    <w:p>
      <w:pPr>
        <w:spacing w:after="0" w:line="16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The FDA or a comparable foreign regulatory authority may also require more information, including additional nonclinical or clinical data to support approval, which may delay or prevent approval of our commercialization plans, or cause us to abandon the development program. If our current or future product candidates receive regulatory approval, these product candidates may be approved for fewer or more limited indications than we request, such approval may be contingent on the performance of costly post-marketing clinical trials, or we may not be allowed to include the labeling claims necessary or desirable for the successful commercialization of such product candidate.</w:t>
      </w:r>
    </w:p>
    <w:p>
      <w:pPr>
        <w:spacing w:after="0" w:line="181"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 agreements with Genzyme, Beth Israel Deaconess Medical Center, Georgetown University and Dana-Farber Cancer Institute to permit us to use patents and patent applications. Termination of these rights or the failure to comply with obligations under these agreements could materially harm our business and prevent us from developing or commercializing our product candidates.</w:t>
      </w:r>
    </w:p>
    <w:p>
      <w:pPr>
        <w:spacing w:after="0" w:line="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We are party to license agreements with Genzyme, Beth Israel Deaconess Medical Center, Georgetown University and Dana-Farber Cancer Institute under which we were granted rights to patents and patent applications that are important to our business. We rely on these license agreements in order to be able to use various proprietary technologies that are material to our business, including certain patents and patent applications that cover our product candidates, including mavorixafor. Our rights to use these patents and patent applications and employ the inventions claimed in these licensed patents are subject to the continuation of and our compliance with the terms of our license agreements.</w:t>
      </w:r>
    </w:p>
    <w:p>
      <w:pPr>
        <w:spacing w:after="0" w:line="2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Our license agreement with Genzyme imposes upon us various diligence, payment and other obligations, including the obligation to pay Genzyme (i) future milestone payments in the aggregate amount of up to $13.0 million as of December 31, 2024, contingent upon our achievement of certain late-stage regulatory and sales milestones with respect to licensed products, of which we achieved a regulatory milestone of $3.0 million in January 2025 and paid in March 2025,</w:t>
      </w:r>
    </w:p>
    <w:p>
      <w:pPr>
        <w:ind w:right="80" w:firstLine="6"/>
        <w:spacing w:after="0" w:line="235"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pay Genzyme tiered royalties based on net sales of licensed products that we commercialize under the agreement; and (iii) our obligation to pay Genzyme a certain percentage of cash payments received by us or our affiliates in consideration for the grant of a sublicense under the license granted to us by Genzyme.</w:t>
      </w:r>
    </w:p>
    <w:p>
      <w:pPr>
        <w:spacing w:after="0" w:line="193"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If we fail to comply with any of our obligations under the Genzyme license agreement, or we are subject to a bankruptcy, Genzyme may have the right to terminate the license agreement, in which event we would not be able to market any product candidates covered by the license.</w:t>
      </w:r>
    </w:p>
    <w:p>
      <w:pPr>
        <w:spacing w:after="0" w:line="16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Prior to July 2014, we did not control the prosecution, maintenance, or filing of the patents and patent applications that are licensed to us under the Genzyme license agreement, or the enforcement of these patents and patent applications against infringement by third parties. Thus, these patents and patent applications were not drafted by us or our attorneys, and we did not control or have any input into the prosecution of these patents and patent applications prior to our execution of the Genzyme license agreement in July 2014. Under the terms of the license agreement with Genzyme, since July 2014, we have controlled the right to control the prosecution, maintenance, and filing of the patents and patent applications that are licensed to us, and the enforcement of these patents and patent applications against infringement by third parties. However, we cannot be certain that the same level of attention was given to the drafting and prosecution of these patents and patent applications as we may have used if we had control over the drafting and prosecution of such patents and patent applications. We also cannot be certain that drafting or prosecution of the patents and patent applications licensed to us has been conducted in compliance with applicable laws and regulations or will result in valid and enforceable patents.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6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Pursuant to our license agreement with Beth Israel Deaconess Medical Center, we paid an upfront, one-time fee for the rights granted by the license agreement. This license agreement imposes upon us various obligations, including the requirement to provide Beth Israel Deaconess Medical Center with progress reports at regular intervals and to maintain specified levels of insurance. Beth Israel Deaconess Medical Center may terminate the agreement for our non-payment, insolvency or default of material obligations. We have the right to terminate the agreement for any reason upon 90 days’ advance written notice.</w:t>
      </w:r>
    </w:p>
    <w:p>
      <w:pPr>
        <w:spacing w:after="0" w:line="16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Our license agreement with Georgetown imposes upon us various diligence, payment and other obligations, including our obligations to pay Georgetown milestone payments in the aggregate amount of up to $0.8 million, contingent upon our achievement of certain sales milestones with respect to licensed products, to deliver reports upon certain events and at regular intervals and to maintain customary levels of insurance. Georgetown may terminate the agreement for our non-payment, insolvency, failure to maintain insurance or default of material obligations. We have the right to terminate the agreement for any reason upon 60 days advance written notice.</w:t>
      </w:r>
    </w:p>
    <w:p>
      <w:pPr>
        <w:spacing w:after="0" w:line="21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8"/>
          <w:szCs w:val="18"/>
          <w:color w:val="auto"/>
        </w:rPr>
        <w:t>Our license agreement with the Dana-Farber Cancer Institute (“DFCI”) imposes upon us various diligence, payment and other obligations, including our obligations to pay DFCI milestone payments in the aggregate amount of up to approximately $32 million, contingent upon our achievement of certain regulatory and sales milestones with respect to licensed products, to deliver reports at regular intervals and to maintain certain minimum levels of insurance. DFCI may terminate the agreement if (i) we cease to carry on our business with respect to the licensed products, (ii) we default on diligence, insurance, payment or any other material obligations, (iii) one of our officers or that of a sublicensee is convicted of a felony relating to the manufacture, use, sale or importation of one or more licensed product, (iv) we become insolvent, (v) we grant a sublicense without notifying DFCI or on terms inconsistent with the terms required of sublicenses under the agreement or (vi) we bring a patent challenge against the licensed products. We have the right to terminate the agreement for any reason upon 90 days advance written notice.</w:t>
      </w:r>
    </w:p>
    <w:p>
      <w:pPr>
        <w:spacing w:after="0" w:line="190"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Disputes may arise under any of our license agreements with Genzyme, Beth Israel Deaconess Medical Center, Georgetown University and/or Dana-Farber Cancer Institute regarding the intellectual property that is subject to such license agreement, including:</w:t>
      </w:r>
    </w:p>
    <w:p>
      <w:pPr>
        <w:spacing w:after="0" w:line="57" w:lineRule="exact"/>
        <w:rPr>
          <w:sz w:val="20"/>
          <w:szCs w:val="20"/>
          <w:color w:val="auto"/>
        </w:rPr>
      </w:pPr>
    </w:p>
    <w:p>
      <w:pPr>
        <w:ind w:left="1520" w:hanging="242"/>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w:t>
      </w:r>
    </w:p>
    <w:p>
      <w:pPr>
        <w:spacing w:after="0" w:line="111" w:lineRule="exact"/>
        <w:rPr>
          <w:rFonts w:ascii="Times New Roman" w:cs="Times New Roman" w:eastAsia="Times New Roman" w:hAnsi="Times New Roman"/>
          <w:sz w:val="18"/>
          <w:szCs w:val="18"/>
          <w:color w:val="auto"/>
        </w:rPr>
      </w:pPr>
    </w:p>
    <w:p>
      <w:pPr>
        <w:ind w:left="1520" w:right="20" w:hanging="242"/>
        <w:spacing w:after="0" w:line="274" w:lineRule="auto"/>
        <w:tabs>
          <w:tab w:leader="none" w:pos="15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that is not subject to the applicable license agreement;</w:t>
      </w:r>
    </w:p>
    <w:p>
      <w:pPr>
        <w:spacing w:after="0" w:line="57" w:lineRule="exact"/>
        <w:rPr>
          <w:rFonts w:ascii="Times New Roman" w:cs="Times New Roman" w:eastAsia="Times New Roman" w:hAnsi="Times New Roman"/>
          <w:sz w:val="18"/>
          <w:szCs w:val="18"/>
          <w:color w:val="auto"/>
        </w:rPr>
      </w:pPr>
    </w:p>
    <w:p>
      <w:pPr>
        <w:ind w:left="1520" w:right="80" w:hanging="242"/>
        <w:spacing w:after="0" w:line="259" w:lineRule="auto"/>
        <w:tabs>
          <w:tab w:leader="none" w:pos="15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under the applicable license agreement to develop and commercialize products and technologies, including the level of effort and specific activities that will satisfy those diligence obligations; and</w:t>
      </w:r>
    </w:p>
    <w:p>
      <w:pPr>
        <w:spacing w:after="0" w:line="7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collaborators.</w:t>
      </w:r>
    </w:p>
    <w:p>
      <w:pPr>
        <w:spacing w:after="0" w:line="217"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any of our license agreements on acceptable terms, we may be unable to successfully develop and commercialize the affected product or product candidates and technologies.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clinical trials may not support our product candidate claims.</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Even if our clinical trials are completed as planned, we cannot be certain that their results will support the safety and/or efficacy of our product candidates, that the FDA or foreign government authorities will agree with our conclusions regarding such results, or that the FDA or foreign governmental authorities will not require additional clinical trials. Success in preclinical testing and early clinical trials does not ensure that later clinical trials will be successful and the results of later clinical trials often do not replicate the results of prior clinical trials and preclinical testing. The clinical trial results may fail to demonstrate that our product candidates are safe for humans and effective for the intended indications. This failure could cause us to abandon a product candidate and may delay development of other product candidates. Any delay in, or termination of, our clinical trials will delay or prevent the submission of our marketing applications (NDA and/or MAA) and, ultimately, our ability to obtain approval and commercialize our product candidates and generate product revenues. Information about certain clinical trials, including results (positive or negative) will be made public according to each country’s clinical trial registration policies. Competitors may use this publicly available information to gain knowledge regarding the progress of development programs.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uncertain outcomes. Delays in or failure to complete any of our clinical trials may lead to a delay in the submission of our marketing approval application and jeopardize our ability to potentially receive approvals and generate revenues from the sale of our products.</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To receive the required approval to commercialize any product candidates, we must demonstrate through extensive clinical trials that our product candidates are safe and effective in humans. Clinical testing is expensive and can take many years to complete, and its outcome is inherently uncertain. We may be unable to establish clinical endpoints that applicable regulatory authorities would consider clinically meaningful, and a clinical trial can fail at any stage of testing. Clinical data are often susceptible to varying interpretations and analyses, and many companies that have believed their product candidates performed satisfactorily in clinical trials have nonetheless failed to receive marketing approval of their product candidates.</w:t>
      </w:r>
    </w:p>
    <w:p>
      <w:pPr>
        <w:spacing w:after="0" w:line="21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 addition, we may experience delays in our current or future clinical trials, including our Phase 3 clinical trial of mavorixafor for the treatment of chronic neutropenic disorders. For example, as a result of the COVID-19 pandemic, we experienced delays in clinical trial site activation and slower patient enrollment in our clinical trials of mavorixafor for WHIM syndrome. Clinical trials may be delayed, suspended or terminated for a variety of reasons, including the following:</w:t>
      </w:r>
    </w:p>
    <w:p>
      <w:pPr>
        <w:spacing w:after="0" w:line="74" w:lineRule="exact"/>
        <w:rPr>
          <w:sz w:val="20"/>
          <w:szCs w:val="20"/>
          <w:color w:val="auto"/>
        </w:rPr>
      </w:pPr>
    </w:p>
    <w:p>
      <w:pPr>
        <w:ind w:left="1520" w:right="32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a comparable foreign regulatory authority on a trial design that we are able to execute;</w:t>
      </w:r>
    </w:p>
    <w:p>
      <w:pPr>
        <w:spacing w:after="0" w:line="57" w:lineRule="exact"/>
        <w:rPr>
          <w:rFonts w:ascii="Times New Roman" w:cs="Times New Roman" w:eastAsia="Times New Roman" w:hAnsi="Times New Roman"/>
          <w:sz w:val="18"/>
          <w:szCs w:val="18"/>
          <w:color w:val="auto"/>
        </w:rPr>
      </w:pPr>
    </w:p>
    <w:p>
      <w:pPr>
        <w:ind w:left="1520" w:right="18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authorization to commence a trial or inability to comply with conditions imposed by a regulatory authority regarding the scope or design of a clinical trial;</w:t>
      </w:r>
    </w:p>
    <w:p>
      <w:pPr>
        <w:spacing w:after="0" w:line="57" w:lineRule="exact"/>
        <w:rPr>
          <w:rFonts w:ascii="Times New Roman" w:cs="Times New Roman" w:eastAsia="Times New Roman" w:hAnsi="Times New Roman"/>
          <w:sz w:val="18"/>
          <w:szCs w:val="18"/>
          <w:color w:val="auto"/>
        </w:rPr>
      </w:pPr>
    </w:p>
    <w:p>
      <w:pPr>
        <w:ind w:left="1520" w:right="42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competing clinical trial programs;</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subjects to participate in a trial;</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having subjects complete a trial or return for post-treatment follow-up;</w:t>
      </w:r>
    </w:p>
    <w:p>
      <w:pPr>
        <w:spacing w:after="0" w:line="111" w:lineRule="exact"/>
        <w:rPr>
          <w:rFonts w:ascii="Times New Roman" w:cs="Times New Roman" w:eastAsia="Times New Roman" w:hAnsi="Times New Roman"/>
          <w:sz w:val="18"/>
          <w:szCs w:val="18"/>
          <w:color w:val="auto"/>
        </w:rPr>
      </w:pPr>
    </w:p>
    <w:p>
      <w:pPr>
        <w:ind w:left="1520" w:right="28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 failing to conduct the trial in accordance with regulatory requirements, or dropping out of a trial;</w:t>
      </w:r>
    </w:p>
    <w:p>
      <w:pPr>
        <w:spacing w:after="0" w:line="57" w:lineRule="exact"/>
        <w:rPr>
          <w:rFonts w:ascii="Times New Roman" w:cs="Times New Roman" w:eastAsia="Times New Roman" w:hAnsi="Times New Roman"/>
          <w:sz w:val="18"/>
          <w:szCs w:val="18"/>
          <w:color w:val="auto"/>
        </w:rPr>
      </w:pPr>
    </w:p>
    <w:p>
      <w:pPr>
        <w:ind w:left="1520" w:right="44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on acceptable terms with prospective CROs and clinical trial sites, the terms of which can be subject to extensive negotiation and may vary significantly among different CROs and trial sites;</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institutional review board (“IRB”) approval to conduct a clinical trial at each site;</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negative or equivocal findings of the Data Safety Monitoring Board (“DSMB”) if any;</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results;</w:t>
      </w:r>
    </w:p>
    <w:p>
      <w:pPr>
        <w:spacing w:after="0" w:line="111" w:lineRule="exact"/>
        <w:rPr>
          <w:rFonts w:ascii="Times New Roman" w:cs="Times New Roman" w:eastAsia="Times New Roman" w:hAnsi="Times New Roman"/>
          <w:sz w:val="18"/>
          <w:szCs w:val="18"/>
          <w:color w:val="auto"/>
        </w:rPr>
      </w:pPr>
    </w:p>
    <w:p>
      <w:pPr>
        <w:ind w:left="1520" w:right="4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 by the FDA, a comparable foreign regulatory authority, or recommendation by a DSMB to suspend or terminate clinical trials at any time for safety issues or for any other reason;</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of drug product for use in nonclinical studies or clinical trials;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product development program;</w:t>
      </w:r>
    </w:p>
    <w:p>
      <w:pPr>
        <w:spacing w:after="0" w:line="111" w:lineRule="exact"/>
        <w:rPr>
          <w:rFonts w:ascii="Times New Roman" w:cs="Times New Roman" w:eastAsia="Times New Roman" w:hAnsi="Times New Roman"/>
          <w:sz w:val="18"/>
          <w:szCs w:val="18"/>
          <w:color w:val="auto"/>
        </w:rPr>
      </w:pPr>
    </w:p>
    <w:p>
      <w:pPr>
        <w:ind w:left="1520" w:right="20" w:hanging="242"/>
        <w:spacing w:after="0" w:line="274" w:lineRule="auto"/>
        <w:tabs>
          <w:tab w:leader="none" w:pos="15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business disruptions affecting the initiation, patient enrollment, development and operation of our clinical trials, including public health emergencies and geopolitical conflicts such as the war in Ukraine or in Gaza; or</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requirements.</w:t>
      </w:r>
    </w:p>
    <w:p>
      <w:pPr>
        <w:spacing w:after="0" w:line="2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delays in completing or failures to complete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6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that we may develop or acquire could cause us or the FDA or other regulatory authorities to interrupt, delay or halt our clinical trials and could result in more restrictive labels or the delay or denial of marketing approval by the FDA or other regulatory authorities of such product candidates.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In addition, any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rare and severe side effects of our product candidates may only be uncovered with a significantly larger number of patients exposed to the product candidate. For XOLREMDI and any other product candidates that receive marketing approval in the future, if we or others identify undesirable side effects caused by such product candidates (or any other similar drugs) after such approval, a number of potentially significant negative consequences could result, including:</w:t>
      </w:r>
    </w:p>
    <w:p>
      <w:pPr>
        <w:spacing w:after="0" w:line="74" w:lineRule="exact"/>
        <w:rPr>
          <w:sz w:val="20"/>
          <w:szCs w:val="20"/>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1" w:lineRule="exact"/>
        <w:rPr>
          <w:rFonts w:ascii="Times New Roman" w:cs="Times New Roman" w:eastAsia="Times New Roman" w:hAnsi="Times New Roman"/>
          <w:sz w:val="18"/>
          <w:szCs w:val="18"/>
          <w:color w:val="auto"/>
        </w:rPr>
      </w:pPr>
    </w:p>
    <w:p>
      <w:pPr>
        <w:ind w:left="1520" w:right="460" w:hanging="242"/>
        <w:spacing w:after="0" w:line="274" w:lineRule="auto"/>
        <w:tabs>
          <w:tab w:leader="none" w:pos="15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57" w:lineRule="exact"/>
        <w:rPr>
          <w:rFonts w:ascii="Times New Roman" w:cs="Times New Roman" w:eastAsia="Times New Roman" w:hAnsi="Times New Roman"/>
          <w:sz w:val="18"/>
          <w:szCs w:val="18"/>
          <w:color w:val="auto"/>
        </w:rPr>
      </w:pPr>
    </w:p>
    <w:p>
      <w:pPr>
        <w:jc w:val="both"/>
        <w:ind w:left="1520" w:right="180" w:hanging="242"/>
        <w:spacing w:after="0" w:line="259" w:lineRule="auto"/>
        <w:tabs>
          <w:tab w:leader="none" w:pos="15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to mitigate risks, which could include medication guides, physician communication plans, or elements to assure safe use, such as restricted distribution methods, patient registries and other risk minimization tools;</w:t>
      </w:r>
    </w:p>
    <w:p>
      <w:pPr>
        <w:spacing w:after="0" w:line="7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 after they are approved;</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or product candidates and could substantially increase the costs of commercializing our products or product candidates, and significantly impact our ability to successfully commercialize our products or product candidates and generate revenues.</w:t>
      </w:r>
    </w:p>
    <w:p>
      <w:pPr>
        <w:spacing w:after="0" w:line="17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enroll and retain patients in testing our product candidates, and we have made certain assumptions about the rate at which we can enroll patients in our clinical trials. The timing of our clinical trials depends in part on the speed at which we can recruit patients to participate in testing mavorixafor and any other current or future product candidates that we may develop as well as completion of required follow-up periods. For example, as a result of the COVID-19 pandemic, we previously have experienced a slower enrollment pace in some of our clinical trials.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6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cannot identify patients to participate in our clinical trials or if patients are unwilling to participate in our clinical trials for any reason, including if patients choose to enroll in competitive clinical trials for similar patient populations, the timeline for recruiting patients, conducting studies and obtaining regulatory approval of mavorixafor and any other current or future product candidates that we may develop may be delayed. These delays could result in increased costs, delays in advancing our current or future product candidates, delays in testing the effectiveness of our product candidates or termination of the clinical trials altogether.</w:t>
      </w:r>
    </w:p>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achieve diversity in a trial, to complete our current and future clinical trials in a timely manner. In particular, we are currently evaluating mavorixafor for the treatment of chronic neutropenic disorders, which are rare diseases with limited patient pools from which to draw for clinical trials. The eligibility criteria of our clinical trials will further limit the pool of available trial participants. If we experience difficulty enrolling a sufficient number of patients to conduct our clinical trials as planned, we may be forced to delay, limit or terminate ongoing or planned clinical trials of our product candidates, which would delay our ability to obtain approvals and generate product revenues from any of these product candidates.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 clinical trials enrolling more subjects may fail to show the desired safety and efficacy results or otherwise fail to be consistent with the results of earlier trials of the same product candidate. Inconsistencies may occur for a variety of reasons, including differences in trial design, trial endpoints (or lack of trial endpoints in exploratory studies), subject population, number of subjects, subject selection criteria, trial duration, drug dosage and formulation or lack of statistical power in the earlier trials.</w:t>
      </w:r>
    </w:p>
    <w:p>
      <w:pPr>
        <w:spacing w:after="0" w:line="21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0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Marketing and Commercialization of Our Product Candidates</w:t>
      </w:r>
    </w:p>
    <w:p>
      <w:pPr>
        <w:spacing w:after="0" w:line="2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approved product and any future approved products may still face future development and regulatory difficulties and will be subject to extensive post-approval regulatory requirements. Additionally, our approved product and any future approved products could be subject to marketing restrictions or withdrawal from the market, and we may be subject to penalties if we fail to comply with regulatory requirements or if we experience unanticipated problems with our products.</w:t>
      </w:r>
    </w:p>
    <w:p>
      <w:pPr>
        <w:spacing w:after="0" w:line="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Our approved product and product candidates that receive regulatory approval will be subject to extensive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and efficacy of any product will continue to be closely monitored by the FDA and comparable foreign regulatory authorities after approval. If the FDA or comparable foreign regulatory authorities become aware of new safety information after approval of any of our product candidates, these regulatory authorities may require labeling changes or the FDA may require establishment of a Risk Evaluation Mitigation Strategy (“REMS”), impose significant restrictions on our product’s indicated uses or marketing, or impose ongoing requirements for potentially costly post-approval</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ind w:right="140"/>
        <w:spacing w:after="0" w:line="274" w:lineRule="auto"/>
        <w:rPr>
          <w:sz w:val="20"/>
          <w:szCs w:val="20"/>
          <w:color w:val="auto"/>
        </w:rPr>
      </w:pPr>
      <w:r>
        <w:rPr>
          <w:rFonts w:ascii="Times New Roman" w:cs="Times New Roman" w:eastAsia="Times New Roman" w:hAnsi="Times New Roman"/>
          <w:sz w:val="18"/>
          <w:szCs w:val="18"/>
          <w:color w:val="auto"/>
        </w:rPr>
        <w:t>studies or post-market surveillance. Progress reports are required at quarterly intervals, every six months and at annual intervals depending upon the country, and more frequently if serious adverse events occur.</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approved product and our product candidates that receive marketing approval will be subject to continual requirements of and review by the FDA and other regulatory authorities. These requirements include submissions of safety and other post-marketing information and reports, registration and listing requirements, cGMP requirements, quality assurance and corresponding maintenance of records and documents and requirements regarding the distribution of samples to physicians and recordkeeping. The marketing approval of our product candidate may be subject to limitations on the indicated uses for which the product may be marketed or to other conditions of approval, or contain requirements for costly post-marketing testing and surveillance to monitor the safety or efficacy of the drug. The FDA closely regulates the post-approval marketing and promotion of drugs to ensure that they are marketed only for the approved indications and in accordance with the provisions of the approved labeling.</w:t>
      </w:r>
    </w:p>
    <w:p>
      <w:pPr>
        <w:spacing w:after="0" w:line="21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In addition, manufacturers of drugs and their facilities are subject to continual review and periodic inspections by the FDA and other regulatory authorities for compliance with cGMP regulations. If a regulatory agency discovers previously unknown problems with our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or product candidates or the manufacturing facilities for our product or product candidates fail to comply with cGMPs and other applicable regulatory requirements, the FDA may, among other things:</w:t>
      </w:r>
    </w:p>
    <w:p>
      <w:pPr>
        <w:spacing w:after="0" w:line="79" w:lineRule="exact"/>
        <w:rPr>
          <w:sz w:val="20"/>
          <w:szCs w:val="20"/>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modifications to promotional materials or require us to provide corrective information to healthcare practitioners;</w:t>
      </w:r>
    </w:p>
    <w:p>
      <w:pPr>
        <w:spacing w:after="0" w:line="111" w:lineRule="exact"/>
        <w:rPr>
          <w:rFonts w:ascii="Times New Roman" w:cs="Times New Roman" w:eastAsia="Times New Roman" w:hAnsi="Times New Roman"/>
          <w:sz w:val="18"/>
          <w:szCs w:val="18"/>
          <w:color w:val="auto"/>
        </w:rPr>
      </w:pPr>
    </w:p>
    <w:p>
      <w:pPr>
        <w:ind w:left="1520" w:right="280" w:hanging="242"/>
        <w:spacing w:after="0" w:line="274" w:lineRule="auto"/>
        <w:tabs>
          <w:tab w:leader="none" w:pos="15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7"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1" w:lineRule="exact"/>
        <w:rPr>
          <w:rFonts w:ascii="Times New Roman" w:cs="Times New Roman" w:eastAsia="Times New Roman" w:hAnsi="Times New Roman"/>
          <w:sz w:val="18"/>
          <w:szCs w:val="18"/>
          <w:color w:val="auto"/>
        </w:rPr>
      </w:pPr>
    </w:p>
    <w:p>
      <w:pPr>
        <w:ind w:left="1520" w:hanging="242"/>
        <w:spacing w:after="0"/>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occurrence of any event or penalty described above, or any other sanction by a regulatory authority or other governmental entity, may inhibit our ability to commercialize our products and generate revenue.</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Any regulatory approval that the FDA grants is limited to those indications and patient populations for which a drug is deemed to be safe and effective by the FDA.</w:t>
      </w:r>
    </w:p>
    <w:p>
      <w:pPr>
        <w:spacing w:after="0" w:line="21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will be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in some instances has also required companies to enter into corporate integrity agreements or imposed permanent injunctions under which specified promotional conduct is changed or curtailed. If we cannot successfully manage the promotion of our products, we could become subject to significant liability, which would materially adversely affect our business and financial condition.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41" w:name="page42"/>
    <w:bookmarkEnd w:id="41"/>
    <w:p>
      <w:pPr>
        <w:spacing w:after="0" w:line="162" w:lineRule="exact"/>
        <w:rPr>
          <w:sz w:val="20"/>
          <w:szCs w:val="20"/>
          <w:color w:val="auto"/>
        </w:rPr>
      </w:pPr>
    </w:p>
    <w:p>
      <w:pPr>
        <w:ind w:right="5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attaining significant market acceptance of our approved product or product candidates, if approved, among hospitals, physicians, patients and healthcare payors.</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7"/>
          <w:szCs w:val="17"/>
          <w:color w:val="auto"/>
        </w:rPr>
        <w:t>Our approved product may not gain market acceptance among hospitals, physicians, health care payors, patients and the medical community. Market acceptance of any of our approved product or product candidates for which we receive approval in the future depends on a number of factors, including:</w:t>
      </w: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5" w:lineRule="exact"/>
        <w:rPr>
          <w:rFonts w:ascii="Times New Roman" w:cs="Times New Roman" w:eastAsia="Times New Roman" w:hAnsi="Times New Roman"/>
          <w:sz w:val="18"/>
          <w:szCs w:val="18"/>
          <w:color w:val="auto"/>
        </w:rPr>
      </w:pPr>
    </w:p>
    <w:p>
      <w:pPr>
        <w:ind w:left="640" w:right="80" w:hanging="316"/>
        <w:spacing w:after="0" w:line="245"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hospitals, physicians and patients of the product candidate as a safe and effective treatment, particularly the ability of mavorixafor and our other product candidates to establish themselves as a new standard of care for the indications that we are pursuing;</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and product candidates over alternative treatments as compared to their relative costs;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with respect to our products or product candidates, including mavorixafor;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any approved products for sale at competitive prices;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competitive products;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the availability of coverage and adequate reimbursement by third party payors and government authorities;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those of our potential future collaborators.</w:t>
      </w:r>
    </w:p>
    <w:p>
      <w:pPr>
        <w:spacing w:after="0" w:line="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There may be delays in getting our products or product candidates on hospital or insurance formularies or limitations on coverages that may be available in the early stages of commercialization for newly approved drugs. If our product or any product candidate that is approved fails to achieve market acceptance among hospitals, physicians, patients or health care payors, we will not be able to generate significant revenues, which would have a material adverse effect on our business, prospects, financial condition and results of operations.</w:t>
      </w:r>
    </w:p>
    <w:p>
      <w:pPr>
        <w:spacing w:after="0" w:line="211"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sales and marketing capabilities or to selectively enter into agreements with third parties to sell and market our product or product candidates, we may not be successful in commercializing our product candidates that have been approved.</w:t>
      </w:r>
    </w:p>
    <w:p>
      <w:pPr>
        <w:spacing w:after="0" w:line="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Although we have built a sales or marketing infrastructure, as an organization we have no experience in the sales, marketing or distribution of pharmaceutical products. To achieve commercial success for our approved product for which we retain sales and marketing responsibilities, we are continuing to build a focused sales and marketing infrastructure to sell XOLREMDI in the U.S. Although our management team has previous experience with such efforts, there can be no assurance that we will be successful in building these operations. If we are unable to establish and maintain adequate sales, marketing and distribution capabilities, we may not be able to generate product revenue and may not become profitable. We will also be competing with many companies that currently have extensive and well-funded sales and marketing operations. If any of our product candidates are approved, we may be unable to compete successfully against these more established companies.</w:t>
      </w:r>
    </w:p>
    <w:p>
      <w:pPr>
        <w:spacing w:after="0" w:line="2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There are risks involved both with establishing our own sales and marketing capabilities and with entering into arrangements with third parties to perform these services, such as the exclusive licensing and supply agreement we entered into with Norgine in January 2025.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4"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5" w:lineRule="exact"/>
        <w:rPr>
          <w:rFonts w:ascii="Times New Roman" w:cs="Times New Roman" w:eastAsia="Times New Roman" w:hAnsi="Times New Roman"/>
          <w:sz w:val="18"/>
          <w:szCs w:val="18"/>
          <w:color w:val="auto"/>
        </w:rPr>
      </w:pPr>
    </w:p>
    <w:p>
      <w:pPr>
        <w:ind w:left="640" w:right="360" w:hanging="316"/>
        <w:spacing w:after="0" w:line="245"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any future products; and</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4"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 to us may be lower than if we were to market and sell any products that we develop ourselves. In addition, we may not be successful in entering into arrangements with third parties to sell and market our product or product candidates or may be unable to do so on terms that are favorable to us. We may have little control over such third parties, and any of them may fail to devote the necessary resources and attention to sell and market our products effectively. If we do not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ind w:right="220"/>
        <w:spacing w:after="0" w:line="274" w:lineRule="auto"/>
        <w:rPr>
          <w:sz w:val="20"/>
          <w:szCs w:val="20"/>
          <w:color w:val="auto"/>
        </w:rPr>
      </w:pPr>
      <w:r>
        <w:rPr>
          <w:rFonts w:ascii="Times New Roman" w:cs="Times New Roman" w:eastAsia="Times New Roman" w:hAnsi="Times New Roman"/>
          <w:sz w:val="18"/>
          <w:szCs w:val="18"/>
          <w:color w:val="auto"/>
        </w:rPr>
        <w:t>establish sales and marketing capabilities successfully, either on our own or in collaboration with third parties, we will not be successful in commercializing our product or product candidates.</w:t>
      </w:r>
    </w:p>
    <w:p>
      <w:pPr>
        <w:spacing w:after="0" w:line="18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substantial competition that may result in others discovering, developing or commercializing products before or more successfully than we do. </w:t>
      </w: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1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have obtained FDA approval for mavorixafor for use as an oral, once-daily therapy to increase the number of circulating mature neutrophils and lymphocytes in patients aged 12 years and older with WHIM syndrome, and are developing mavorixafor for potential use in other chronic neutropenic disorders. We are aware of other companies that are developing CXCR4 inhibitors that are in a similar stage of development as mavorixafor, including BioLineRx, Noxxon, Upsher-Smith, Polyphor and Glycomimetics. To our knowledge, there do not appear to be any competitors with programs in development for WHIM syndrome or chronic neutropenia disorders. With respect to chronic neutropenia, filgrastim injections (G-CSF) and two biosimilars (Zarxio and Nivestym) are FDA-approved to reduce the incidence and duration of after effects of severe neutropenia (e.g.‚ fever‚ infections‚ oropharyngeal ulcers) in symptomatic patients with congenital neutropenia‚ cyclic neutropenia or idiopathic neutropenia</w:t>
      </w:r>
      <w:r>
        <w:rPr>
          <w:rFonts w:ascii="Times New Roman" w:cs="Times New Roman" w:eastAsia="Times New Roman" w:hAnsi="Times New Roman"/>
          <w:sz w:val="18"/>
          <w:szCs w:val="18"/>
          <w:color w:val="008080"/>
        </w:rPr>
        <w:t>.</w:t>
      </w:r>
    </w:p>
    <w:p>
      <w:pPr>
        <w:spacing w:after="0" w:line="21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In many diseases, these drugs are administered in combination to enhance efficacy. Some of the currently approved drug therapies are branded and subject to patent protection, and others are available on a generic basis. Many of these approved drugs are well-established therapies and are widely accepted by physicians, patients and third-party payors. Insurers and other third-party payors may also encourage the use of generic products. We expect that if any of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competitors may develop products that are more effective, have a better safety profile, are more convenient or less costly than any that we are developing or that would render our product candidates obsolete or non-competitive. Our competitors may also obtain marketing approval from the FDA or other regulatory authorities for their products sooner than we may obtain approval for our product candidates, which could result in our competitors establishing a strong market position before we are able to enter the market.</w:t>
      </w:r>
    </w:p>
    <w:p>
      <w:pPr>
        <w:spacing w:after="0" w:line="20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may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though we have obtained approval for one of our product candidates from the FDA, we may never obtain approval for our product candidates outside of the United States, which would limit our market opportunities and could harm our business.</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a foreign regulatory authority does not ensure approval by regulatory authorities in other foreign countries or by the FDA. Clinical trials conducted in one country may not be accepted by regulatory authorities in other countries.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is also subject to approval. Obtaining approval for any future product candidates in the European Union from the European Commission following the opinion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3" w:name="page44"/>
    <w:bookmarkEnd w:id="43"/>
    <w:p>
      <w:pPr>
        <w:spacing w:after="0" w:line="274" w:lineRule="auto"/>
        <w:rPr>
          <w:sz w:val="20"/>
          <w:szCs w:val="20"/>
          <w:color w:val="auto"/>
        </w:rPr>
      </w:pPr>
      <w:r>
        <w:rPr>
          <w:rFonts w:ascii="Times New Roman" w:cs="Times New Roman" w:eastAsia="Times New Roman" w:hAnsi="Times New Roman"/>
          <w:sz w:val="17"/>
          <w:szCs w:val="17"/>
          <w:color w:val="auto"/>
        </w:rPr>
        <w:t>EMA would be a lengthy and expensive process. Even if a product candidate is approved, the FDA or the European Commission, as the case may be, may limit the indications for which the drug may be marketed, require extensive warnings on the drug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any future product candidates in certain countries.</w:t>
      </w:r>
    </w:p>
    <w:p>
      <w:pPr>
        <w:spacing w:after="0" w:line="19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seek approval to commercialize our product candidates outside of the United States, a variety of risks associated with international operations could harm our business.</w:t>
      </w:r>
    </w:p>
    <w:p>
      <w:pPr>
        <w:spacing w:after="0" w:line="1" w:lineRule="exact"/>
        <w:rPr>
          <w:sz w:val="20"/>
          <w:szCs w:val="20"/>
          <w:color w:val="auto"/>
        </w:rPr>
      </w:pPr>
    </w:p>
    <w:p>
      <w:pPr>
        <w:ind w:right="700"/>
        <w:spacing w:after="0" w:line="245" w:lineRule="auto"/>
        <w:rPr>
          <w:sz w:val="20"/>
          <w:szCs w:val="20"/>
          <w:color w:val="auto"/>
        </w:rPr>
      </w:pPr>
      <w:r>
        <w:rPr>
          <w:rFonts w:ascii="Times New Roman" w:cs="Times New Roman" w:eastAsia="Times New Roman" w:hAnsi="Times New Roman"/>
          <w:sz w:val="18"/>
          <w:szCs w:val="18"/>
          <w:color w:val="auto"/>
        </w:rPr>
        <w:t>If we seek approval of our product candidates outside of the United States, we expect that we will be subject to additional risks in commercialization including:</w:t>
      </w:r>
    </w:p>
    <w:p>
      <w:pPr>
        <w:spacing w:after="0" w:line="1"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5" w:lineRule="exact"/>
        <w:rPr>
          <w:rFonts w:ascii="Times New Roman" w:cs="Times New Roman" w:eastAsia="Times New Roman" w:hAnsi="Times New Roman"/>
          <w:sz w:val="18"/>
          <w:szCs w:val="18"/>
          <w:color w:val="auto"/>
        </w:rPr>
      </w:pPr>
    </w:p>
    <w:p>
      <w:pPr>
        <w:ind w:left="640" w:right="460" w:hanging="316"/>
        <w:spacing w:after="0" w:line="245"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and public health epidemics.</w:t>
      </w:r>
    </w:p>
    <w:p>
      <w:pPr>
        <w:spacing w:after="0" w:line="22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We or our collaborators may not seek, or may seek but never receive, regulatory approval to market our products, including XOLREMDI, or product candidates outside of the U.S. or in any particular country or region. In order to market any product outside of the U.S., we or our collaborators must establish and comply with the numerous and varying safety, efficacy and other regulatory requirements of other countries. Approval procedures vary among countries and can involve additional non-clinical studies or clinical trials, additional work related to manufacturing and analytical testing on controls, and additional administrative review periods. The time required to obtain approvals in other countries might differ from that required to obtain FDA approval. Marketing approval in one country does not ensure marketing approval in another, but a failure or delay in obtaining marketing approval in one country may have a negative effect on the regulatory process in other countries.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may require additional studies and data, and can result in substantial delays in bringing products to market in such countries and such investment may not be justified from a business standpoint given the market opportunity or level of required investment. Even if we or our collaborators generate the data and information which we or our collaborators believe may be sufficient to file an application for regulatory approval of any of our products or product candidates in a region or country outside the U.S., the relevant regulatory agency may find that we or our collaborators did not meet the requirements for approval, or even if our application is approved, we may have significant post-approval obligations.</w:t>
      </w:r>
    </w:p>
    <w:p>
      <w:pPr>
        <w:spacing w:after="0" w:line="22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many of the individual countries in and outside of Europe with which we will need to comply. Many biopharmaceutical companies have found the process of marketing their own products in foreign countries to be very challenging. Any setback or delay in obtaining regulatory approval or commencing marketing, if approved, for our</w:t>
      </w:r>
    </w:p>
    <w:p>
      <w:pPr>
        <w:spacing w:after="0" w:line="1" w:lineRule="exact"/>
        <w:rPr>
          <w:sz w:val="20"/>
          <w:szCs w:val="20"/>
          <w:color w:val="auto"/>
        </w:rPr>
      </w:pPr>
    </w:p>
    <w:p>
      <w:pPr>
        <w:ind w:right="3360"/>
        <w:spacing w:after="0" w:line="251" w:lineRule="auto"/>
        <w:rPr>
          <w:sz w:val="20"/>
          <w:szCs w:val="20"/>
          <w:color w:val="auto"/>
        </w:rPr>
      </w:pPr>
      <w:r>
        <w:rPr>
          <w:rFonts w:ascii="Times New Roman" w:cs="Times New Roman" w:eastAsia="Times New Roman" w:hAnsi="Times New Roman"/>
          <w:sz w:val="18"/>
          <w:szCs w:val="18"/>
          <w:color w:val="auto"/>
        </w:rPr>
        <w:t>product candidates in a country or region outside the U.S. where we or our collaborators have decided it makes business sense to proceed may have a material adverse effect on our business and prospects.</w:t>
      </w:r>
    </w:p>
    <w:p>
      <w:pPr>
        <w:spacing w:after="0" w:line="206"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Any products that we commercialize may become subject to unfavorable pricing regulations, third-party reimbursement practices or healthcare reform initiatives, which would harm our business.</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The laws and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and, in some markets, prescription pharmaceutical pricing remains subject to continuing governmental control even after initial approval is granted. As a result, we might be subject to price regulations that delay our commercial launch of a product, possibly for lengthy time periods, and negatively impact the revenues we are able to generate from the sale of the product in that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44" w:name="page45"/>
    <w:bookmarkEnd w:id="44"/>
    <w:p>
      <w:pPr>
        <w:ind w:right="260"/>
        <w:spacing w:after="0" w:line="274" w:lineRule="auto"/>
        <w:rPr>
          <w:sz w:val="20"/>
          <w:szCs w:val="20"/>
          <w:color w:val="auto"/>
        </w:rPr>
      </w:pPr>
      <w:r>
        <w:rPr>
          <w:rFonts w:ascii="Times New Roman" w:cs="Times New Roman" w:eastAsia="Times New Roman" w:hAnsi="Times New Roman"/>
          <w:sz w:val="18"/>
          <w:szCs w:val="18"/>
          <w:color w:val="auto"/>
        </w:rPr>
        <w:t>country. Adverse pricing limitations may hinder our ability to recoup our investment in XOLREMDI or future product candidates, even if those candidates obtain marketing approval.</w:t>
      </w:r>
    </w:p>
    <w:p>
      <w:pPr>
        <w:spacing w:after="0" w:line="190"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Our ability to commercialize XOLREMDI or future product candidates successfully depends in part on the extent to which coverage and adequate reimbursement for these products and related treatments are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and E.U. healthcare industries and elsewhere is cost containment.</w:t>
      </w:r>
    </w:p>
    <w:p>
      <w:pPr>
        <w:spacing w:after="0" w:line="21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XOLREMDI or any other product that we commercialize and, if coverage and reimbursement is available, the level of reimbursement. Reimbursement may impact the demand for, or the price of, any product candidate for which we obtain marketing approval. Obtaining and maintaining adequate reimbursement for XOLREMDI may be particularly difficult because of the higher prices typically associated with drugs directed at smaller populations of patients. In addition, third-party payors are likely to impose strict requirements for reimbursement of a higher priced drug, and any launch of a competitive product is likely to create downward pressure on the price initially charged. If reimbursement is not available or is available only to a limited degree, we may not be able to successfully commercialize XOLREMDI or any future product candidate for which we obtain marketing approval. Even if favorable coverage and reimbursement status is attained, less favorable coverage policies and reimbursement rates may be implemented in the future.</w:t>
      </w:r>
    </w:p>
    <w:p>
      <w:pPr>
        <w:spacing w:after="0" w:line="2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applicable regulatory authority. Moreover, eligibility for coverage and reimbursement does not imply that any drug will be paid for in all cases or at a rate that covers our costs, including research, development, intellectual property, manufacturing, sale and distribution expenses. Interim reimbursement levels for new drugs, if applicable, may also not be sufficient to cover our costs and may not be made permanent.</w:t>
      </w:r>
    </w:p>
    <w:p>
      <w:pPr>
        <w:spacing w:after="0" w:line="20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the United States, third-party payors often rely upon Medicare coverage policy and payment limitations in setting their own reimbursement policies. In the European Union, reference pricing systems and other measures may lead to cost containment and reduced prices. Our inability to promptly obtain coverage and adequate reimbursement rates from both government-funded and private payors for XOLREMDI (mavorixafor) or for any future approved product candidates could have a material adverse effect on our operating results, our ability to raise capital needed to develop additional product candidates and commercialize products and our overall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the commercialization of any product candidates we may develop.</w:t>
      </w:r>
    </w:p>
    <w:p>
      <w:pPr>
        <w:spacing w:after="0" w:line="1"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with respect to commercial sales of any products that we may develop. If we cannot successfully defend ourselves against claims that our product candidates or products caused injuries, we could incur substantial liabilities. Regardless of merit or eventual outcome, liability claims may result in:</w:t>
      </w:r>
    </w:p>
    <w:p>
      <w:pPr>
        <w:spacing w:after="0" w:line="2"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develop;</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45" w:name="page46"/>
    <w:bookmarkEnd w:id="45"/>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Although we maintain clinical trial insurance coverage, it may not be adequate to cover all liabilities that we may incur. We anticipate that we will need to increase our insurance coverage as we continue clinical trials or begin commercialization of any products. Insurance coverage is increasingly expensive. We may not be able to obtain or maintain insurance coverage at a reasonable cost or in an amount adequate to satisfy any liability that may arise.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4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are subject to applicable anti-kickback, fraud and abuse and other healthcare laws and regulations, which could expose us to significant penalties, including administrative, civil and criminal penalties, contractual damages, reputational harm and diminished profits and future earnings.</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have an approved, commercialized product, and we are subject to additional healthcare statutory and regulatory requirements and enforcement by the federal government and the states and foreign governments in the jurisdictions in which we conduct our business. Healthcare providers and third-party payors will play a primary role in the recommendation and prescription of any product candidates for which we obtain marketing approval. Our current and future arrangements with third-party payors and customers may expose us to broadly applicable fraud and abuse and other healthcare laws and regulations that may constrain the business or financial arrangements and relationships through which we research, market, sell and distribute XOLREMDI or any products candidates for which we obtain marketing approval in the future.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received in the course of patient recruitment for clinical trials. See the section in this Annual Report on Form 10-K for the fiscal year ended December 31, 2024 entitled “Business – Government Regulation – Other Healthcare Laws and Compliance Requirements.”</w:t>
      </w:r>
    </w:p>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imprisonment, exclusion from government funded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w:t>
      </w:r>
    </w:p>
    <w:p>
      <w:pPr>
        <w:spacing w:after="0" w:line="210"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our product or product candidates and affect the prices we may obtain.</w:t>
      </w:r>
    </w:p>
    <w:p>
      <w:pPr>
        <w:spacing w:after="0" w:line="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product candidates, restrict post-approval activities and affect our ability to sell profitably any approved product or product candidates for which we obtain marketing approval in the future.</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However, we expect that the ACA, as well as other healthcare reform measures that may be adopted in the future, may result in more rigorous coverage criteria and in additional downward pressure on the price that we may receive for any approved product. These laws may result in additional reductions in Medicare and other healthcare funding.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6" w:name="page47"/>
    <w:bookmarkEnd w:id="46"/>
    <w:p>
      <w:pPr>
        <w:ind w:right="120"/>
        <w:spacing w:after="0" w:line="250"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our operations may be. In addition, increased scrutiny by the U.S. Congress of the FDA’s approval process may significantly delay or prevent marketing approval for our future product candidates, as well as subject us to more stringent product labeling and post-marketing conditions and other requirements. Moreover, the U.S. Supreme Court’s June 2024 decision to overturn established case law giving deference to regulatory agencies’ interpretations of ambiguous statutory language has introduced uncertainty regarding the extent to which the U.S. government regulations, policies and decisions may become subject to increasing legal challenges, delays, and/or changes.</w:t>
      </w:r>
    </w:p>
    <w:p>
      <w:pPr>
        <w:spacing w:after="0" w:line="213" w:lineRule="exact"/>
        <w:rPr>
          <w:sz w:val="20"/>
          <w:szCs w:val="20"/>
          <w:color w:val="auto"/>
        </w:rPr>
      </w:pPr>
    </w:p>
    <w:p>
      <w:pPr>
        <w:ind w:right="920"/>
        <w:spacing w:after="0" w:line="274" w:lineRule="auto"/>
        <w:rPr>
          <w:sz w:val="20"/>
          <w:szCs w:val="20"/>
          <w:color w:val="auto"/>
        </w:rPr>
      </w:pPr>
      <w:r>
        <w:rPr>
          <w:rFonts w:ascii="Times New Roman" w:cs="Times New Roman" w:eastAsia="Times New Roman" w:hAnsi="Times New Roman"/>
          <w:sz w:val="18"/>
          <w:szCs w:val="18"/>
          <w:color w:val="auto"/>
        </w:rPr>
        <w:t>See the sections of this Annual Report on Form 10-K for the fiscal year ended December 31, 2024 entitled, “Business – Government Regulation – Pharmaceutical Coverage, Pricing and Reimbursement” and “Business – Government Regulation – Healthcare Reform.”</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its business, results of operations and financial condition.</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and other anti-corruption laws that apply in countries where we do business and may do business in the future. The FCPA and these other laws generally prohibit us, our officers and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violations, and may participate in collaborations and relationships with third parties whose actions could potentially subject us to liability under the FCPA or local anti-corruption laws. In addition, we cannot predict the nature, scope or effect of future regulatory requirements to which its international operations might be subject or the manner in which existing laws might be administered or interpreted.</w:t>
      </w:r>
    </w:p>
    <w:p>
      <w:pPr>
        <w:spacing w:after="0" w:line="218"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U.S. government and authorities in the European Union or the United Kingdom, including applicable export control regulations, economic sanctions on countries and persons, customs requirements and currency exchange regulations, which we collectively refer to as Trade Control Laws.</w:t>
      </w:r>
    </w:p>
    <w:p>
      <w:pPr>
        <w:spacing w:after="0" w:line="20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other anti-corruption laws or Trade Control Laws by U.S. or other authorities could also have an adverse impact on our reputation, business, results of operations and financial condition.</w:t>
      </w:r>
    </w:p>
    <w:p>
      <w:pPr>
        <w:spacing w:after="0" w:line="208"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personnel, and substantial leadership, personnel, and policy changes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7" w:name="page48"/>
    <w:bookmarkEnd w:id="47"/>
    <w:p>
      <w:pPr>
        <w:spacing w:after="0" w:line="250" w:lineRule="auto"/>
        <w:rPr>
          <w:sz w:val="20"/>
          <w:szCs w:val="20"/>
          <w:color w:val="auto"/>
        </w:rPr>
      </w:pPr>
      <w:r>
        <w:rPr>
          <w:rFonts w:ascii="Times New Roman" w:cs="Times New Roman" w:eastAsia="Times New Roman" w:hAnsi="Times New Roman"/>
          <w:sz w:val="18"/>
          <w:szCs w:val="18"/>
          <w:color w:val="auto"/>
        </w:rPr>
        <w:t>Disruptions at the FDA and other agencies, including substantial leadership, personnel, and policy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manufacturing our product or product candidates on a large clinical or commercial scale and have no manufacturing facility. We are currently dependent on a single third party manufacturer for the manufacture of the active pharmaceutical ingredient (“API”) for mavorixafor, and a single manufacturer of mavorixafor finished drug product capsules. If we experience problems with these third parties, the manufacturing of mavorixafor could be delayed, which could harm our results of operations.</w:t>
      </w:r>
    </w:p>
    <w:p>
      <w:pPr>
        <w:spacing w:after="0" w:line="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To meet our projected needs for clinical supplies to support our development activities through regulatory approval and commercial manufacturing, the manufacturers with whom we currently work will need to increase its frequency and/or scale of production or we will need to find additional or alternative manufacturers. We have not yet secured alternate suppliers in the event the current manufacturer we utilize is unable to meet demand, or if otherwise we experience any problems with them. If such problems arise and we are unable to arrange for alternative third-party manufacturing sources, we are unable to find an alternative third party capable of reproducing the existing manufacturing method or we are unable to do so on commercially reasonable terms or in a timely manner, we may not be able to complete development of our product candidates, or market or distribute them.</w:t>
      </w:r>
    </w:p>
    <w:p>
      <w:pPr>
        <w:spacing w:after="0" w:line="2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Reliance on third-party manufacturers entails risks to which we would not be subject if we manufactured our product or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products that we may eventually commercialize in accordance with our specifications), and the possibility of termination or nonrenewal of the agreement by the third party, based on its own business priorities, at a time that is costly or damaging to us. In addition, the FDA and other regulatory authorities require that our product or product candidates that we may eventually commercialize be manufactured according to cGMP and similar foreign standards. Drug manufacturers and other entities involved in the manufacture and distribution of approved drugs are required to register their establishments with the FDA and some state agencies, and are subject to periodic unannounced inspections for compliance with cGMP requirements. Manufacturers and other parties in the supply chain also must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Changes to the manufacturing process are strictly regulated and often require prior FDA or other regulatory authority approval before being implemented. FDA requirements also require investigation and correction of any deviations from cGMP and impose reporting and documentation requirements upon us and any third-party manufacturers that we may decide to use. Accordingly, the manufacturers must continue to expend time, money and effort in the areas of production and quality control to maintain cGMP compliance. Any failure by our third-party manufacturers to comply with cGMP or failure to scale up manufacturing processes, including any failure to deliver sufficient quantities of product candidates or products if they are approved in a timely manner, could lead to a delay in, or failure to obtain, regulatory approval of any of our product candidates. In addition, such failure could be the basis for the FDA to issue a warning letter, withdraw approvals for product candidates previously granted to us, or take other regulatory or legal action, including recall or seizure, total or partial suspension of production, suspension of ongoing clinical trials, refusal to approve pending applications or supplemental applications, detention of product, refusal to permit the import or export of products, injunction, or imposing civil and criminal penalties.</w:t>
      </w:r>
    </w:p>
    <w:p>
      <w:pPr>
        <w:spacing w:after="0" w:line="21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Our current manufacturers and any future manufacturers may not be able to manufacture our product or product candidates at a cost or in quantities or in a timely manner necessary to make commercially successful products. If we successfully commercialize any of our product candidates, we may be required to establish large-scale commercial manufacturing capabilities. In addition, as our drug development pipeline increases and matures, we will have a greater need for clinical study and commercial manufacturing capacity. We have limited experience manufacturing pharmaceutical products on a commercial scale and some of these manufacturers will need to increase their scale of production to meet our projected needs for commercial manufacturing, the satisfaction of which may not be met on a timely basis.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48" w:name="page49"/>
    <w:bookmarkEnd w:id="48"/>
    <w:p>
      <w:pPr>
        <w:ind w:right="2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contract research organizations, or CROs, and clinical data management organizations to monitor and manage data for our ongoing preclinical and clinical programs. Although we control only certain aspects of their activities, we are responsible for ensuring that each of our studies is conducted in accordance with the applicable protocol and legal, regulatory and scientific standards, and our reliance on the CROs does not relieve us of our regulatory responsibilities. We also rely on third parties to conduct our preclinical studies in accordance with Good Laboratory Practice, or GLP, requirements and the Laboratory Animal Welfare Act of 1966 requirements, where applicable. We, our CROs and our clinical trial sites are required to comply with regulations and current Good Clinical Practices, or GCP, and comparable foreign requirements to ensure that the health, safety and rights of patients are protected in clinical trials, and that data integrity is assured. Regulatory authorities ensure compliance with GCP requirements through periodic inspections of trial sponsors and trial sites. If we, any of our CROs or our clinical trial sites fail to comply with applicable GCP requirements, the clinical data generated in our clinical trials or a specific site may be deemed unreliable and the FDA or comparable foreign regulatory authorities may require us to perform additional clinical trials before approving our marketing applications.</w:t>
      </w:r>
    </w:p>
    <w:p>
      <w:pPr>
        <w:spacing w:after="0" w:line="21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obligations or meet expected timelines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our supply chain could delay the commercial sale of our product.</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Any significant disruption in our supplier relationships could harm our business. We currently rely on a single source supplier of mavorixafor, as well a single supplier for the finished product capsules for mavorixafor. If either of these single source suppliers suffers a major natural or man-made disaster at its manufacturing facility, we would not be able to manufacture mavorixafor on a commercial scale until a qualified alternative supplier is identified. Although alternative sources of supply exist, the number of third party suppliers with the necessary manufacturing and regulatory expertise and facilities is limited, and it could be expensive and take a significant amount of time to arrange for alternative suppliers. Any significant delay in the supply of a product or product candidate or its key materials for an ongoing clinical study could considerably delay completion of our clinical studies, product testing and potential regulatory approval of our product candidates. If we or our manufacturers are unable to purchase these key materials after regulatory approval of our product candidates, the commercial launch of our product candidates would be delayed, which would impair our ability to generate revenues from the sale of our product candidates.</w:t>
      </w:r>
    </w:p>
    <w:p>
      <w:pPr>
        <w:spacing w:after="0" w:line="21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We are exposed to the risk that our employees, principal investigators, CROs, CMOs and consultants may engage in fraudulent conduct or other illegal activity. Misconduct by these parties could include intentional failures to comply with FDA regulations or similar regulations of comparable foreign regulatory authorities, to provide accurate information to the FDA or comparable foreign regulatory authorities, to comply with manufacturing standards we have established, to comply with federal and state healthcare fraud and abuse laws and regulations and similar laws and regulations established and enforced by comparable foreign regulatory authorities,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or third party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such as employee training,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9" w:name="page50"/>
    <w:bookmarkEnd w:id="49"/>
    <w:p>
      <w:pPr>
        <w:ind w:right="8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established, and may seek to selectively establish in the future, collaborations, and, if we are unable to establish them on commercially reasonable terms, we may have to alter our development and commercialization plans.</w:t>
      </w:r>
    </w:p>
    <w:p>
      <w:pPr>
        <w:spacing w:after="0" w:line="1"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candidates.</w:t>
      </w:r>
    </w:p>
    <w:p>
      <w:pPr>
        <w:spacing w:after="0" w:line="21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depend on such collaborations for the development and commercialization of our product candidates. If those collaborations are not successful, we may not be able to capitalize on the market potential of our product candidates.</w:t>
      </w:r>
    </w:p>
    <w:p>
      <w:pPr>
        <w:spacing w:after="0" w:line="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We have, and may selectively seek in the future, third-party collaborators for the development and commercialization of our product candidates.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Collaborations involving our product candidates pose many risks to us, including that:</w:t>
      </w:r>
    </w:p>
    <w:p>
      <w:pPr>
        <w:spacing w:after="0" w:line="4"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5" w:lineRule="exact"/>
        <w:rPr>
          <w:rFonts w:ascii="Times New Roman" w:cs="Times New Roman" w:eastAsia="Times New Roman" w:hAnsi="Times New Roman"/>
          <w:sz w:val="18"/>
          <w:szCs w:val="18"/>
          <w:color w:val="auto"/>
        </w:rPr>
      </w:pPr>
    </w:p>
    <w:p>
      <w:pPr>
        <w:ind w:left="640" w:right="16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2" w:lineRule="exact"/>
        <w:rPr>
          <w:rFonts w:ascii="Times New Roman" w:cs="Times New Roman" w:eastAsia="Times New Roman" w:hAnsi="Times New Roman"/>
          <w:sz w:val="18"/>
          <w:szCs w:val="18"/>
          <w:color w:val="auto"/>
        </w:rPr>
      </w:pPr>
    </w:p>
    <w:p>
      <w:pPr>
        <w:ind w:left="640" w:right="26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Times New Roman" w:cs="Times New Roman" w:eastAsia="Times New Roman" w:hAnsi="Times New Roman"/>
          <w:sz w:val="18"/>
          <w:szCs w:val="18"/>
          <w:color w:val="auto"/>
        </w:rPr>
      </w:pPr>
    </w:p>
    <w:p>
      <w:pPr>
        <w:ind w:left="640" w:right="16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or products if the collaborators believe that competitive products are more likely to be successfully developed or can be commercialized under terms that are more economically attractive than ours;</w:t>
      </w:r>
    </w:p>
    <w:p>
      <w:pPr>
        <w:spacing w:after="0" w:line="2" w:lineRule="exact"/>
        <w:rPr>
          <w:rFonts w:ascii="Times New Roman" w:cs="Times New Roman" w:eastAsia="Times New Roman" w:hAnsi="Times New Roman"/>
          <w:sz w:val="18"/>
          <w:szCs w:val="18"/>
          <w:color w:val="auto"/>
        </w:rPr>
      </w:pPr>
    </w:p>
    <w:p>
      <w:pPr>
        <w:ind w:left="640" w:right="60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 candidates or products may not commit sufficient resources to the marketing and distribution of such drugs;</w:t>
      </w:r>
    </w:p>
    <w:p>
      <w:pPr>
        <w:spacing w:after="0" w:line="1" w:lineRule="exact"/>
        <w:rPr>
          <w:rFonts w:ascii="Times New Roman" w:cs="Times New Roman" w:eastAsia="Times New Roman" w:hAnsi="Times New Roman"/>
          <w:sz w:val="18"/>
          <w:szCs w:val="18"/>
          <w:color w:val="auto"/>
        </w:rPr>
      </w:pPr>
    </w:p>
    <w:p>
      <w:pPr>
        <w:ind w:left="640" w:right="22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 w:lineRule="exact"/>
        <w:rPr>
          <w:rFonts w:ascii="Times New Roman" w:cs="Times New Roman" w:eastAsia="Times New Roman" w:hAnsi="Times New Roman"/>
          <w:sz w:val="18"/>
          <w:szCs w:val="18"/>
          <w:color w:val="auto"/>
        </w:rPr>
      </w:pPr>
    </w:p>
    <w:p>
      <w:pPr>
        <w:ind w:left="640" w:right="18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products or that result in costly litigation or arbitration that diverts management attention and resources;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if we undergo a change of control;</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1" w:lineRule="exact"/>
        <w:rPr>
          <w:rFonts w:ascii="Times New Roman" w:cs="Times New Roman" w:eastAsia="Times New Roman" w:hAnsi="Times New Roman"/>
          <w:sz w:val="18"/>
          <w:szCs w:val="18"/>
          <w:color w:val="auto"/>
        </w:rPr>
      </w:pPr>
    </w:p>
    <w:p>
      <w:pPr>
        <w:ind w:left="640" w:right="120" w:hanging="316"/>
        <w:spacing w:after="0" w:line="248"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products or product candidates in the most efficient manner or at all. In addition, if a future collaborator of ours were to be involved in a business combination, the continued pursuit and emphasis on our product development or commercialization program under such collaboration could be delayed, diminished or terminated.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laws and rulings by U.S. courts make it difficult to predict how patents will be issued or enforced in our industry.</w:t>
      </w:r>
    </w:p>
    <w:p>
      <w:pPr>
        <w:spacing w:after="0" w:line="2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have a significant impact on our ability to protect our technology and enforce our intellectual property rights.</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There have been numerous changes over the past ten years to the patent laws and to the rules of the United States Patent and Trademark Office (“USPTO”), which may have a significant impact on our ability to protect our technology and enforce our intellectual property rights. For example, the Leahy-Smith America Invents Act (“AIA”), which was signed into law in 2011, includes a transition from a “first-to-invent” system to a “first-to-file” system, and changes the way issued patents are challenged. Certain changes, such as the institution of inter partes review proceedings, that allow third parties to challenge newly issued patents, came into effect on September 16, 2012. The burden of proof required for challenging a patent in these proceedings is lower than in district court litigation, and patents in the biologics and pharmaceuticals industry have been successfully challenged using these new post-grant challenges. In addition, the U.S. Supreme Court has ruled on several patent cases in recent years, either narrowing the scope of patent protection available in specified circumstances or weakening the rights of patent owners in specified situations. Depending on decisions by the U.S. Congress, the federal courts, and the USPTO, these substantive changes to patent law associated with the AIA may further weaken our ability to obtain new patents or to enforce our existing patents and patents that we might obtain in the future, all of which could harm our business.</w:t>
      </w:r>
    </w:p>
    <w:p>
      <w:pPr>
        <w:spacing w:after="0" w:line="218"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Furthermore, the patent positions of companies engaged in the development and commercialization of biologics and pharmaceuticals are particularly uncertain. We cannot assure you that our efforts to seek patent protection for our technology and products will not be negatively impacted by the changes described above, future rulings in district court cases or changes in guidance or procedures issued by the USPTO. We cannot fully predict what impact the Supreme Court’s decisions may have on the ability of life science companies to obtain or enforce patents relating to their products and technologies in the future.</w:t>
      </w:r>
    </w:p>
    <w:p>
      <w:pPr>
        <w:spacing w:after="0" w:line="212"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our competitive position could be harmed.</w:t>
      </w:r>
    </w:p>
    <w:p>
      <w:pPr>
        <w:spacing w:after="0" w:line="28" w:lineRule="exact"/>
        <w:rPr>
          <w:sz w:val="20"/>
          <w:szCs w:val="20"/>
          <w:color w:val="auto"/>
        </w:rPr>
      </w:pPr>
    </w:p>
    <w:p>
      <w:pPr>
        <w:jc w:val="both"/>
        <w:ind w:right="200"/>
        <w:spacing w:after="0" w:line="251" w:lineRule="auto"/>
        <w:rPr>
          <w:sz w:val="20"/>
          <w:szCs w:val="20"/>
          <w:color w:val="auto"/>
        </w:rPr>
      </w:pPr>
      <w:r>
        <w:rPr>
          <w:rFonts w:ascii="Times New Roman" w:cs="Times New Roman" w:eastAsia="Times New Roman" w:hAnsi="Times New Roman"/>
          <w:sz w:val="18"/>
          <w:szCs w:val="18"/>
          <w:color w:val="auto"/>
        </w:rPr>
        <w:t>We depend on our ability to protect our proprietary technology. We rely on trade secret, patent, copyright and trademark laws, and confidentiality, licensing and other agreements with employees and third parties, all of which offer only limited protection.</w:t>
      </w:r>
    </w:p>
    <w:p>
      <w:pPr>
        <w:spacing w:after="0" w:line="21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Where we have the right to do so under our license agreements, we seek to protect our proprietary position by filing patent applications in the United States and abroad related to our novel technologies and products that are important to our business.</w:t>
      </w:r>
    </w:p>
    <w:p>
      <w:pPr>
        <w:spacing w:after="0" w:line="204"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steps we have taken to police and protect our proprietary rights may not be adequate to preclude misappropriation of our proprietary information or infringement of our intellectual property rights, both inside and outside the United States. The rights already granted under any of our currently issued patents and those that may be granted under future issued patents may not provide us with the proprietary protection or competitive advantages that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21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the pending patent applications for any of our products or product candidates will result in the issuance of patents that protect our technology or products, or which will effectively prevent others</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391" w:right="399" w:bottom="1440" w:gutter="0" w:footer="0" w:header="0"/>
        </w:sectPr>
      </w:pPr>
    </w:p>
    <w:bookmarkStart w:id="51" w:name="page52"/>
    <w:bookmarkEnd w:id="51"/>
    <w:p>
      <w:pPr>
        <w:spacing w:after="0" w:line="248" w:lineRule="auto"/>
        <w:rPr>
          <w:sz w:val="20"/>
          <w:szCs w:val="20"/>
          <w:color w:val="auto"/>
        </w:rPr>
      </w:pPr>
      <w:r>
        <w:rPr>
          <w:rFonts w:ascii="Times New Roman" w:cs="Times New Roman" w:eastAsia="Times New Roman" w:hAnsi="Times New Roman"/>
          <w:sz w:val="18"/>
          <w:szCs w:val="18"/>
          <w:color w:val="auto"/>
        </w:rPr>
        <w:t>from commercializing competitive technologies and products. Our pending applications cannot be enforced against third parties practicing the technology claimed in such applications unless and until a patent issues from such applications. Further, the examination process may require us or our licensors to narrow the claims, which may limit the scope of patent protection that may be obtained. Although our license agreement with Genzyme includes a number of issued patents that are exclusively licensed to us,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21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incur significant expenses to obtain our intellectual property rights, and we cannot ensure that we will obtain meaningful patent protection for our product candidates.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patent prosecution process is expensive and time-consuming, and we may not be able to file and prosecute all necessary or desirable patent applications at a reasonable cost or in a timely manner. In addition, it is also possible that we will fail to identify patentable aspects of further inventions made in the course of our development and commercialization activities before they are publicly disclosed, making it too late to obtain patent protection on them. Further, given the amount of time required for the development, testing and regulatory review of new product candidates, patents protecting such candidates might expire before or shortly after such candidates are commercialized.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a patent that covers an approved product where the permission for the commercial marketing or use of the product is the first permitted commercial marketing or use, and as long as the remaining term of the patent does not exceed 14 years.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and these foreign laws may also be subject to change.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w:t>
      </w:r>
    </w:p>
    <w:p>
      <w:pPr>
        <w:spacing w:after="0" w:line="20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Obtaining and maintaining our patent protection depends on compliance with various procedural, documentary, fee payment and other requirements imposed by governmental patent agencies, and our patent protection could be reduced or eliminated for non-compliance with these requirements. </w:t>
      </w: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have a material adverse effect on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2" w:name="page53"/>
    <w:bookmarkEnd w:id="52"/>
    <w:p>
      <w:pPr>
        <w:ind w:right="80"/>
        <w:spacing w:after="0" w:line="259" w:lineRule="auto"/>
        <w:rPr>
          <w:sz w:val="20"/>
          <w:szCs w:val="20"/>
          <w:color w:val="auto"/>
        </w:rPr>
      </w:pPr>
      <w:r>
        <w:rPr>
          <w:rFonts w:ascii="Times New Roman" w:cs="Times New Roman" w:eastAsia="Times New Roman" w:hAnsi="Times New Roman"/>
          <w:sz w:val="18"/>
          <w:szCs w:val="18"/>
          <w:color w:val="auto"/>
        </w:rPr>
        <w:t>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become involved in lawsuits to protect or enforce our intellectual property, which could be expensive, time consuming and unsuccessful. </w:t>
      </w:r>
      <w:r>
        <w:rPr>
          <w:rFonts w:ascii="Times New Roman" w:cs="Times New Roman" w:eastAsia="Times New Roman" w:hAnsi="Times New Roman"/>
          <w:sz w:val="18"/>
          <w:szCs w:val="18"/>
          <w:color w:val="auto"/>
        </w:rPr>
        <w:t>In addition to the possibility of litigation relating to infringement claims asserted against it, we may become a party to other patent litigation and other proceedings, including inter partes review proceedings, post-grant review proceedings, derivation proceedings declared by the USPTO and similar proceedings in foreign countries, regarding intellectual property rights with respect to our current or future technologies or product candidates or products.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2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17"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18"/>
          <w:szCs w:val="18"/>
          <w:color w:val="auto"/>
        </w:rPr>
        <w:t>If the breadth or strength of our patent or other intellectual property rights is compromised or threatened, it could allow third parties to commercialize our technology or products or result in our inability to commercialize our technology and products without infringing third-party intellectual property rights. Further, third parties may be dissuaded from collaborating with us.</w:t>
      </w:r>
    </w:p>
    <w:p>
      <w:pPr>
        <w:spacing w:after="0" w:line="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0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Moreover, intellectual property law relating to the fields in which we operate is still evolving and, consequently, patent and other intellectual property positions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are a party to several license agreements and may need to obtain additional licenses from others to advance our research and development activities or allow the commercialization of our current product candidates and any that we may identify and pursue in the future. Our currently license agreements impose, and we expect that future license agreements will impose, various development, diligence, commercialization, and other obligations on us.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may gain the freedom to seek regulatory approval of, and to market, products identical to ours and we may be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3" w:name="page54"/>
    <w:bookmarkEnd w:id="53"/>
    <w:p>
      <w:pPr>
        <w:ind w:right="640"/>
        <w:spacing w:after="0" w:line="257" w:lineRule="auto"/>
        <w:rPr>
          <w:sz w:val="20"/>
          <w:szCs w:val="20"/>
          <w:color w:val="auto"/>
        </w:rPr>
      </w:pPr>
      <w:r>
        <w:rPr>
          <w:rFonts w:ascii="Times New Roman" w:cs="Times New Roman" w:eastAsia="Times New Roman" w:hAnsi="Times New Roman"/>
          <w:sz w:val="18"/>
          <w:szCs w:val="18"/>
          <w:color w:val="auto"/>
        </w:rPr>
        <w:t>required to cease our development and commercialization of our product candidates. Any of the foregoing could have a material adverse effect on our competitive position, business, financial conditions, results of operations, and prospects.</w:t>
      </w:r>
    </w:p>
    <w:p>
      <w:pPr>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5"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5" w:lineRule="exact"/>
        <w:rPr>
          <w:rFonts w:ascii="Times New Roman" w:cs="Times New Roman" w:eastAsia="Times New Roman" w:hAnsi="Times New Roman"/>
          <w:sz w:val="18"/>
          <w:szCs w:val="18"/>
          <w:color w:val="auto"/>
        </w:rPr>
      </w:pPr>
    </w:p>
    <w:p>
      <w:pPr>
        <w:ind w:left="640" w:right="640" w:hanging="316"/>
        <w:spacing w:after="0" w:line="24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 candidates, technology and processes infringe on intellectual property of the licensor that is not subject to the licensing agreement;</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5" w:lineRule="exact"/>
        <w:rPr>
          <w:rFonts w:ascii="Times New Roman" w:cs="Times New Roman" w:eastAsia="Times New Roman" w:hAnsi="Times New Roman"/>
          <w:sz w:val="18"/>
          <w:szCs w:val="18"/>
          <w:color w:val="auto"/>
        </w:rPr>
      </w:pPr>
    </w:p>
    <w:p>
      <w:pPr>
        <w:ind w:left="640" w:right="220" w:hanging="316"/>
        <w:spacing w:after="0" w:line="245"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14"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need to rely on licenses to proprietary technologies, which may be difficult or expensive to obtain or we may lose certain licenses which may be difficult to replace.</w:t>
      </w:r>
    </w:p>
    <w:p>
      <w:pPr>
        <w:spacing w:after="0" w:line="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may need to obtain licenses to patents and other proprietary rights held by third parties to develop, manufacture and market our product candidates. If we are unable to timely obtain these licenses on commercially reasonable terms and maintain these licenses, our ability to commercially market our product candidates may be inhibited or prevented, which could have a material adverse effect on our business, results of operations, financial condition and cash flows.</w:t>
      </w:r>
    </w:p>
    <w:p>
      <w:pPr>
        <w:spacing w:after="0" w:line="19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to use our proprietary technologies without infringing the proprietary rights of third parties. We may become party to, or threatened with, future adversarial proceedings or litigation regarding intellectual property rights with respect to our products and technology, including interference and various post grant proceedings before the USPTO, non-U.S. opposition proceedings, and German nullity proceedings. Third parties may assert infringement claims against us based on existing patents or patents that may be granted in the future.</w:t>
      </w:r>
    </w:p>
    <w:p>
      <w:pPr>
        <w:spacing w:after="0" w:line="21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As a result of any such infringement claims, or to avoid potential claims, we may choose or be compelled to seek intellectual property licenses from third parties. These licenses may not be available on acceptable terms, or at all. Even if we are able to obtain a license, the license would likely obligate us to pay license fees or royalties or both, and the rights granted to us likely would be nonexclusive, which would mean that our competitors also could obtain licenses to the same intellectual property. Ultimately, we could be prevented from commercializing a product candidate or technology or be forced to cease some aspect of our business operations if, as a result of actual or threatened infringement claims, we are unable to enter into licenses of the relevant intellectual property on acceptable terms. Further, if we attempt to modify a product candidate or technology or to develop alternative methods or products in response to infringement claims or to avoid potential claims, we could incur substantial costs, encounter delays in product introductions or interruptions in sales. Ultimately, such efforts could be unsuccessful.</w:t>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our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4" w:name="page55"/>
    <w:bookmarkEnd w:id="54"/>
    <w:p>
      <w:pPr>
        <w:jc w:val="both"/>
        <w:ind w:right="280"/>
        <w:spacing w:after="0" w:line="252"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0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litigation could cause us to spend substantial resources and distract our personnel from their normal responsibilities. </w:t>
      </w: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1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8"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trade secrets are difficult to protect and if we are unable to protect the confidentiality of our trade secrets, our business and competitive position would be harmed.</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addition to seeking patents for some of our technologies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non-competition, non-solicitation, and invention assignment agreements with our employees and consultants that obligate them to assign to us any inventions developed in the course of their work for us. However, we cannot guarantee that we have executed these agreements with each party that may have or have had access to our trade secrets or that the agreements we have executed will provide adequate protection. Despite these efforts, any of these parties may breach the agreements and disclose our proprietary information, including our trade secrets, and we may not be able to obtain adequate remedies for such breaches. As a result, we may be forced to bring claims against third parties, or defend claims that they bring against us, to determine ownership of what we regard as our intellectual property. Monitoring unauthorized disclosure is difficult and we do not know whether the procedures that we have followed to prevent such disclosure are or will be adequate. Enforcing a claim that a party illegally disclosed or misappropriated a trade secret is difficult, expensive and time-consuming, and the outcome is unpredictable. In addition, some courts inside and outside the United States may be less willing or unwilling to protect trade secrets. If any of the technology or information that we protect as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Our employees, including members of our senior management, were previously employed at other biotechnology or pharmaceutical companies, including our competitors or potential competitors. All such individuals, including each member of our senior management,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or concerning the agreements with our senior management, but in the future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5" w:name="page56"/>
    <w:bookmarkEnd w:id="55"/>
    <w:p>
      <w:pPr>
        <w:ind w:right="80"/>
        <w:spacing w:after="0" w:line="259" w:lineRule="auto"/>
        <w:rPr>
          <w:sz w:val="20"/>
          <w:szCs w:val="20"/>
          <w:color w:val="auto"/>
        </w:rPr>
      </w:pPr>
      <w:r>
        <w:rPr>
          <w:rFonts w:ascii="Times New Roman" w:cs="Times New Roman" w:eastAsia="Times New Roman" w:hAnsi="Times New Roman"/>
          <w:sz w:val="18"/>
          <w:szCs w:val="18"/>
          <w:color w:val="auto"/>
        </w:rPr>
        <w:t>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In general, we have sought patent protection of our intellectual property in the following jurisdictions: US, Canada, China, Japan and in countries within Europe via the European Patent Office.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2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2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As another example, the complexity and uncertainty of European patent laws have increased in recent years. In Europe, a new unitary patent system will likely be introduced by the end of 2023, which would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4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executives and to attract, retain and motivate key personnel in a competitive environment for skilled biotechnology personnel.</w:t>
      </w:r>
    </w:p>
    <w:p>
      <w:pPr>
        <w:spacing w:after="0" w:line="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Because of the specialized scientific and managerial nature of our business, we rely heavily on our ability to attract and retain qualified scientific, technical and managerial personnel. We are also highly dependent upon members of our current management team, including Paula Ragan, Ph.D., our Chief Executive Officer. The loss of the services provided by these individuals will adversely impact the achievement of our objectives. These individuals could leave our employment at any time, as they are “at will” employees. Effective succession planning is also important to our long-term success. Failure to ensure effective transfer of knowledge and smooth transitions involving key employees could hinder our strategic planning and execution.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Our success will depend on our ability to retain our management team and other key employees, and to attract and retain qualified personnel in the future. The loss of the services of certain members of our senior management or key employees could prevent or delay the implementation and completion of our strategic objectives, or divert management’s attention to seeking qualified replacements. The competition for qualified personnel in the pharmaceutical field is intense and we cannot guarantee that we will be able to retain our current personnel or attract and retain new qualified personnel necessary for the development of our business or to recruit suitable replacement personnel.</w:t>
      </w:r>
    </w:p>
    <w:p>
      <w:pPr>
        <w:spacing w:after="0" w:line="21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The recent restructuring changes in our business may make it more difficult to attract and retain qualified personnel. We cannot guarantee we will achieve our goals or that our actions will result in expected benefits to our business.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scale the size of our organization, and we may experience difficulties in managing this reduction in size.</w:t>
      </w:r>
    </w:p>
    <w:p>
      <w:pPr>
        <w:spacing w:after="0" w:line="2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As of December 31, 2024, we had 143 full-time employees. In February 2025, we implemented a strategic restructuring of our business operations, workforce and capital spending to focus efforts on advancing mavorixafor to treat those with chronic neutropenia, while also optimizing its U.S. promotion of XOLREMDI (the “2025 Restructuring”). As part of the 2025 Restructuring, we implemented a net reduction of our employee headcount by 43 employees, or approximately 30% of our total workforce. The strategic restructuring activities include (i) discontinuing of research efforts, (ii) closing the Company’s facility in Vienna, Austria, (iii) pausing pre-clinical drug candidate programs, (iv) scaling the U.S. commercial field team and supporting roles across the Company and (v) streamlining other spending to support the ongoing clinical development of mavorixafor for the larger population of those with chronic neutropenia. The Company estimates that the workforce reduction will be substantially completed in the first quarter of 2025. As we pause our development and scale our commercialization plans and strategies back, we may lack adequate managerial, operational, development, sales, marketing, financial and other resources. Our management, personnel and systems currently in place, after the 2025 Restructuring, may not be adequate to support future operations.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highly competitive and is subject to rapid and significant technological change, which could render our technologies and products obsolete or uncompetitive.</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pharmaceutical industry is highly competitive and is subject to rapid and significant technological change, which could render certain of our products obsolete or uncompetitive. This is particularly true in the development of therapeutics for oncology indications where new products and combinations of products are rapidly being developed that change the treatment paradigm for patients. There is no assurance that our product candidates will be the best, have the best safety profile, be the first to market, or be the most economical to make or use. The introduction of competitive therapies as alternatives to our product candidates could dramatically reduce the value of those development projects or chances of successfully commercializing those product candidates, which could have a material adverse effect on our long-term financial success.</w:t>
      </w:r>
    </w:p>
    <w:p>
      <w:pPr>
        <w:spacing w:after="0" w:line="2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will compete with companies in the United States and internationally, including major pharmaceutical and chemical companies, specialized CROs, research and development firms, universities and other research institutions. Many of our competitors have greater financial resources and selling and marketing capabilities, greater experience in clinical testing and human clinical trials of pharmaceutical products and greater experience in obtaining FDA and other regulatory approvals than we do. In addition, some of our competitors may have lower development and manufacturing costs.</w:t>
      </w:r>
    </w:p>
    <w:p>
      <w:pPr>
        <w:spacing w:after="0" w:line="203"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and infrastructure, or those of our contractors, consultants, or other third parties, may be subject to cyber attacks, or data breaches, compromises, or other security incidents, which could result in additional costs, loss of revenue, significant liabilities, harm to our reputation, and disruption of our development programs and operations.</w:t>
      </w:r>
    </w:p>
    <w:p>
      <w:pPr>
        <w:spacing w:after="0" w:line="2"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18"/>
          <w:szCs w:val="18"/>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21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our contract research organizations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 The secure processing, storage, maintenance and transmission of this critical information is vital to our operations and business strategy.</w:t>
      </w:r>
    </w:p>
    <w:p>
      <w:pPr>
        <w:spacing w:after="0" w:line="21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Additionally,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Like other companies in our industry, we, and our third party vendors, have experienced, and will continue to experience, cybersecurity threats and incidents relating to our information technology systems and infrastructure.</w:t>
      </w:r>
    </w:p>
    <w:p>
      <w:pPr>
        <w:spacing w:after="0" w:line="21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we have implemented a work model that has enabled substantially all of our employees to periodically work remotely, which may make us more vulnerable to cyberattacks. Any such event could compromise our networks and the information stored there could be accessed by unauthorized parties, publicly disclosed, lost or stolen. We have measures in place that are designed to detect and respond to such security incidents and breaches of privacy and security mandates. Any such access, disclosure or other</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7" w:name="page58"/>
    <w:bookmarkEnd w:id="57"/>
    <w:p>
      <w:pPr>
        <w:ind w:right="20"/>
        <w:spacing w:after="0" w:line="248" w:lineRule="auto"/>
        <w:rPr>
          <w:sz w:val="20"/>
          <w:szCs w:val="20"/>
          <w:color w:val="auto"/>
        </w:rPr>
      </w:pPr>
      <w:r>
        <w:rPr>
          <w:rFonts w:ascii="Times New Roman" w:cs="Times New Roman" w:eastAsia="Times New Roman" w:hAnsi="Times New Roman"/>
          <w:sz w:val="18"/>
          <w:szCs w:val="18"/>
          <w:color w:val="auto"/>
        </w:rPr>
        <w:t>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selling,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our development and commercialization efforts could be delayed and we could be required to notify impacted stakeholders (including affected individuals, regulators and investors) what could lead to significant liability through litigation and regulatory investigations and enforcement actions, including under state (e.g., state breach notification and consumer protection laws), federal (e.g., HIPAA, as amended by the Health Information Technology for Economic and Clinical Health Act of 2009 (“HITECH”)), and international law (e.g., the GDPR).</w:t>
      </w:r>
    </w:p>
    <w:p>
      <w:pPr>
        <w:spacing w:after="0" w:line="21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Our net operating loss (“NOL”) carryforwards could expire unused and be unavailable to offset future tax liabilities because of their limited duration or because of restrictions under U.S. tax law. As of December 31, 2024, we had U.S. federal and state NOLs of $372.9 million and $374.2 million, respectively. Our NOLs generated in tax years ending on or prior to December 31, 2017 are only permitted to be carried forward for 20 years under applicable U.S. tax law. Under the Tax Act, as modified by the CARES Act, our federal NOLs generated in tax years ending after December 31, 2017 may be carried forward indefinitely, but the deductibility of federal NOLs, particularly for tax years beginning after December 31, 2020, may be limited. It is uncertain if and to what extent various states will conform to the Tax Act and the CARES Act.</w:t>
      </w:r>
    </w:p>
    <w:p>
      <w:pPr>
        <w:spacing w:after="0" w:line="2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Section 382 of the Internal Revenue Code of 1986, as amended (“Section 382”) contains rules that limit the ability of a company that undergoes an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among stockholders considered by the rules as owning, directly or indirectly, 5% or more of the stock of a company and any change in ownership arising from new issuances of stock by the company. We have completed a Section 382 study that has identified ownership changes that will limit the future use of our NOL carryforwards. See Note 16,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for a further discussion of these limitations. Future ownership changes as defined by Section 382 may further limit the amount of NOL carryforwards that could be utilized annually to offset future taxable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term loan contains restrictions that limit our flexibility in operating our business.</w:t>
      </w:r>
    </w:p>
    <w:p>
      <w:pPr>
        <w:spacing w:after="0" w:line="2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Hercules Loan Agreement is secured by a lien on substantially all of our assets, excluding intellectual property. This loan contains various covenants that limit our ability to engage in specified types of transactions. These covenants limit our ability to, among other things:</w:t>
      </w:r>
    </w:p>
    <w:p>
      <w:pPr>
        <w:spacing w:after="0" w:line="1"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or dispose of certain assets;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certain assets;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 including paying dividends on, or repurchasing or making distributions with respect to, our common stock;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5" w:lineRule="exact"/>
        <w:rPr>
          <w:sz w:val="20"/>
          <w:szCs w:val="20"/>
          <w:color w:val="auto"/>
        </w:rPr>
      </w:pPr>
    </w:p>
    <w:p>
      <w:pPr>
        <w:ind w:right="340"/>
        <w:spacing w:after="0" w:line="251" w:lineRule="auto"/>
        <w:rPr>
          <w:sz w:val="20"/>
          <w:szCs w:val="20"/>
          <w:color w:val="auto"/>
        </w:rPr>
      </w:pPr>
      <w:r>
        <w:rPr>
          <w:rFonts w:ascii="Times New Roman" w:cs="Times New Roman" w:eastAsia="Times New Roman" w:hAnsi="Times New Roman"/>
          <w:sz w:val="18"/>
          <w:szCs w:val="18"/>
          <w:color w:val="auto"/>
        </w:rPr>
        <w:t>As noted above, the Hercules Loan Agreement also requires that we maintain a minimum level of cash of greater than 20% of our outstanding borrowings under the Hercules Loan Agreement and subject to certain operational covenants.</w:t>
      </w:r>
    </w:p>
    <w:p>
      <w:pPr>
        <w:spacing w:after="0" w:line="206"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economic downturns, inflation, increases in interest rates, natural disasters, public health crises, political crises, geopolitical events, such as the war in Ukraine and in Gaza, or other macroeconomic conditions, which have in the past and may in the future negatively impact our business and financial performance.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8" w:name="page59"/>
    <w:bookmarkEnd w:id="58"/>
    <w:p>
      <w:pPr>
        <w:ind w:right="20"/>
        <w:spacing w:after="0" w:line="249"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U.S. Federal Reserve recently raised interest rates multiple times in response to concerns about inflation and it may raise them again. Higher interest rates, coupled with reduced government spending and volatility in financial markets may increase economic uncertainty. If the equity and credit markets deteriorate, including as a result of political unrest or war, such as the war in Ukraine or in Gaza,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4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not in compliance with the Nasdaq continued listing requirements. If we are unable to regain compliance with Nasdaq’s listing requirements, our securities could be delisted, which could affect our common stock’s market price and liquidity and reduce our ability to raise capital. </w:t>
      </w:r>
      <w:r>
        <w:rPr>
          <w:rFonts w:ascii="Times New Roman" w:cs="Times New Roman" w:eastAsia="Times New Roman" w:hAnsi="Times New Roman"/>
          <w:sz w:val="18"/>
          <w:szCs w:val="18"/>
          <w:color w:val="auto"/>
        </w:rPr>
        <w:t>On August 13, 2024, we received a letter from the Listing Qualifications Staff of The Nasdaq Stock Market LLC (“Nasdaq”) indicating that, based upon the closing bid price of our common stock for the last 30 consecutive business days, we no longer meet Nasdaq Listing Rule 5550(a)(2), which requires listed companies to maintain a minimum bid price of at least $1.00 per share.</w:t>
      </w:r>
    </w:p>
    <w:p>
      <w:pPr>
        <w:spacing w:after="0" w:line="2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accordance with the listing rules of Nasdaq, the Company was given 180 calendar days, or until February 10, 2025, to regain compliance with the minimum bid price requirement. On February 2, 2025, we submitted a letter to Nasdaq requesting an additional 180 day compliance period and in this letter, per Nasdaq’s rules, we noted our intention to cure the deficiency during such additional compliance period, by effecting a reverse stock split, if necessary. We were granted an additional 180 days to regain compliance (the “Compliance Date”). If at any time before the Compliance Date, the closing bid price of the Company’s Common Stock is at least $1.00 per share for a minimum of ten consecutive business days, Nasdaq will provide written notification to the Company that it complies with the minimum bid price requirement. If the Company is unable to regain compliance before the Compliance Date, Nasdaq will provide written notification to the Company that its Common Stock is subject to delisting. At that time, the Company may appeal the delisting determination to a hearings panel pursuant to the procedures set forth in the applicable Nasdaq Listing Rules. However, there can be no assurance that, if the Company does appeal the delisting determination by Nasdaq to the panel, such appeal would be successful.</w:t>
      </w:r>
    </w:p>
    <w:p>
      <w:pPr>
        <w:spacing w:after="0" w:line="21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If we fail to regain compliance with the Nasdaq continued listing standards, Nasdaq will provide notice that our common stock will be subject to delisting. We would then be entitled to appeal that determination to a Nasdaq hearings panel.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has no immediate effect on the listing of our common stock on Nasdaq.</w:t>
      </w:r>
    </w:p>
    <w:p>
      <w:pPr>
        <w:spacing w:after="0" w:line="244"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March 14, 2025, we filed a preliminary proxy indicating our intent to seek shareholder approval to effect a reverse stock split of the outstanding shares of our Common Stock at any time by a ratio of not less than one-for-fifteen and not more than one-for thirty, with the specific ratio to be fixed within this range by the Board in its sole discretion without further stockholder approval (the “Proposal”). We intend to hold the special meeting of stockholders to vote on the Proposal on April 17, 2025. There is no guarantee that the stockholders of the Company will approve the reverse stock split or that the Board will effect the reverse stock split if it is approved by the stockholders. The exact timing of effecting the reverse stock split, if it is approved by the stockholders, will be determined by the Board in its sole discretion. Furthermore, the Company can provide no assurance that the reverse stock split, if effected, will result in a permanent increase in the trading price of our common stock.</w:t>
      </w:r>
    </w:p>
    <w:p>
      <w:pPr>
        <w:spacing w:after="0" w:line="2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 Nasdaq will provide notice that the Company’s common stock will be subject to delisting. The Company would then be entitled to appeal Nasdaq’s delisting determination. However, there can be no assurance that, if we do appeal the delisting determination by Nasdaq, that such appeal would be successful.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59" w:name="page60"/>
    <w:bookmarkEnd w:id="59"/>
    <w:p>
      <w:pPr>
        <w:ind w:right="40"/>
        <w:spacing w:after="0" w:line="251" w:lineRule="auto"/>
        <w:rPr>
          <w:sz w:val="20"/>
          <w:szCs w:val="20"/>
          <w:color w:val="auto"/>
        </w:rPr>
      </w:pPr>
      <w:r>
        <w:rPr>
          <w:rFonts w:ascii="Times New Roman" w:cs="Times New Roman" w:eastAsia="Times New Roman" w:hAnsi="Times New Roman"/>
          <w:sz w:val="18"/>
          <w:szCs w:val="18"/>
          <w:color w:val="auto"/>
        </w:rPr>
        <w:t>There can be no assurance that the Company will be successful in maintaining the listing of our common stock on the Nasdaq Global Market. If we fail to meet the continued listing requirements of Nasdaq, we could face significant material adverse consequences, including: (1) a limited availability of market quotations for our securities; (2) reduced liquidity with respect to our securities; (3) a determination that our shares are a “penny stock” if they are not already determined to be a “penny stock” at the time of such failure to meet such requirements, which will require brokers trading in our securities to adhere to more stringent rules, possibly resulting in a reduced level of trading activity in the secondary trading market for our securities; (4) a limited amount of news and analyst coverage for us; and (5) a decreased ability to issue additional securities or obtain additional financing in the future.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is likely to continue to be volatile and fluctuate substantially.</w:t>
      </w:r>
    </w:p>
    <w:p>
      <w:pPr>
        <w:spacing w:after="0" w:line="28"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market price of our common stock has been and could continue to be subject to significant fluctuations. Market prices for securities of pharmaceutical, biotechnology and other life sciences companies have historically been particularly volatile. Some of the factors that may cause the market price of our common stock to fluctuate include:</w:t>
      </w:r>
    </w:p>
    <w:p>
      <w:pPr>
        <w:spacing w:after="0" w:line="2" w:lineRule="exact"/>
        <w:rPr>
          <w:sz w:val="20"/>
          <w:szCs w:val="20"/>
          <w:color w:val="auto"/>
        </w:rPr>
      </w:pPr>
    </w:p>
    <w:p>
      <w:pPr>
        <w:ind w:left="640" w:right="200" w:hanging="316"/>
        <w:spacing w:after="0" w:line="24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our collaborators to develop product candidates and conduct clinical trials that demonstrate such product candidates are safe and effective;</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our collaborators to obtain regulatory approvals for product candidates, and delays or failures to obtain such approvals;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our product candidates to demonstrate safety and efficacy, receive regulatory approval and achieve commercial success;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third-party license, manufacturing and supply agreements;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to prosecute, maintain or enforce our intellectual property rights;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current or future product candidates;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product candidates or the inability to do so at acceptable prices;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regulatory authorities;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or competing products by our competitors;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that we may provide to the public;</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5" w:lineRule="exact"/>
        <w:rPr>
          <w:rFonts w:ascii="Times New Roman" w:cs="Times New Roman" w:eastAsia="Times New Roman" w:hAnsi="Times New Roman"/>
          <w:sz w:val="18"/>
          <w:szCs w:val="18"/>
          <w:color w:val="auto"/>
        </w:rPr>
      </w:pPr>
    </w:p>
    <w:p>
      <w:pPr>
        <w:ind w:left="640" w:right="500" w:hanging="316"/>
        <w:spacing w:after="0" w:line="24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intellectual property protection for our technologies;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of material developments in our business, financial condition and/or operations;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if they issue an adverse or misleading opinions regarding our business and stock;</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political and market conditions and overall fluctuations in the financial markets in the United States and abroad;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our stockholders in the future;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our markets generally, including with respect to other products and potential products in such markets;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Annual Report</w:t>
      </w:r>
    </w:p>
    <w:p>
      <w:pPr>
        <w:spacing w:after="0" w:line="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potentially worsening economic conditions and other adverse effects, may negatively affect the market price of our common stock, regardless of our actual operating performance.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business, financial condition, results of operations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393" w:right="399" w:bottom="1440" w:gutter="0" w:footer="0" w:header="0"/>
        </w:sectPr>
      </w:pPr>
    </w:p>
    <w:bookmarkStart w:id="60" w:name="page61"/>
    <w:bookmarkEnd w:id="60"/>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“Penny stock” rules may make buying or selling our securities difficult which may make our stock less liquid and make it harder for investors to buy and sell our securities.</w:t>
      </w:r>
    </w:p>
    <w:p>
      <w:pPr>
        <w:spacing w:after="0" w:line="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Trading in our securities is subject to the SEC’s “penny stock” rules and it is anticipated that trading in our securities will continue to be subject to the penny stock rules for the foreseeable future. The SEC has adopted regulations that generally define a penny stock to be any equity security that has a market price of less than $5.00 per share, subject to certain exceptions. These rules require that any broker-dealer who recommends our securities to persons other than prior customers and accredited investors must, prior to the sale, make a special written suitability determination for the purchaser and receive the purchaser’s written agreement to execute the transaction. Unless an exception is available, the regulations require the delivery, prior to any transaction involving a penny stock, of a disclosure schedule explaining the penny stock market and the risks associated with trading in the penny stock market. In addition, broker-dealers must disclose commissions payable to both the broker-dealer and the registered representative and current quotations for the securities they offer. The additional burdens imposed upon broker-dealers by these requirements may discourage broker-dealers from recommending transactions in our securities, which could severely limit the liquidity of our securities and consequently adversely affect the market price for our securities.</w:t>
      </w:r>
    </w:p>
    <w:p>
      <w:pPr>
        <w:spacing w:after="0" w:line="20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on the research and reports that industry or financial analysts publish about us or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8"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to fund the development and growth of our business. In addition, the terms of our debt agreements preclude us from paying dividends. As a result, capital appreciation, if any, of our common stock will be your sole source of gain, if any, for the foreseeable future. We are prohibited from declaring or paying any cash dividends under our existing loan and security agreement with Hercules.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decline.</w:t>
      </w:r>
    </w:p>
    <w:p>
      <w:pPr>
        <w:spacing w:after="0" w:line="2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w:t>
      </w:r>
    </w:p>
    <w:p>
      <w:pPr>
        <w:spacing w:after="0" w:line="19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registering the issuance of shares of common stock subject to options or other equity awards issued or reserved for future issuance under our equity incentive plans. Shares registered under these registration statements are available for sale in the public market subject to vesting arrangements and exercise of options, as well as Rule 144 in the case of our affiliates.</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of 2002 and the rules and regulations of The Nasdaq Stock Market (“Nasdaq”). Pursuant to Section 404 of the Sarbanes-Oxley Act of 2002 (“Section 404”), we are required to perform system and process evaluation and testing of our internal control over financial reporting to allow our management to report on the effectiveness of our internal control over financial reporting in this Annual Report.</w:t>
      </w:r>
    </w:p>
    <w:p>
      <w:pPr>
        <w:spacing w:after="0" w:line="21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as and when required, conducted in connection with Section 404, or any subsequent testing by our independent registered public accounting firm, as and when required, may reveal deficiencies in our internal control over financial reporting that are deemed to be significant deficiencies or material weaknesses or that may require prospective or retroactive changes to our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89" w:right="359" w:bottom="1440" w:gutter="0" w:footer="0" w:header="0"/>
        </w:sectPr>
      </w:pPr>
    </w:p>
    <w:bookmarkStart w:id="61" w:name="page62"/>
    <w:bookmarkEnd w:id="61"/>
    <w:p>
      <w:pPr>
        <w:ind w:right="420"/>
        <w:spacing w:after="0" w:line="274" w:lineRule="auto"/>
        <w:rPr>
          <w:sz w:val="20"/>
          <w:szCs w:val="20"/>
          <w:color w:val="auto"/>
        </w:rPr>
      </w:pPr>
      <w:r>
        <w:rPr>
          <w:rFonts w:ascii="Times New Roman" w:cs="Times New Roman" w:eastAsia="Times New Roman" w:hAnsi="Times New Roman"/>
          <w:sz w:val="18"/>
          <w:szCs w:val="18"/>
          <w:color w:val="auto"/>
        </w:rPr>
        <w:t>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9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beginning with this Annual Report. However, while we remain a non-accelerated filer, we will not be required to include an attestation report on internal control over financial reporting issued by our independent registered public accounting firm. When we cease to be a smaller reporting company and no longer qualify as a non-accelerated filer, we will be required to incur substantial additional professional fees and internal costs to expand our accounting and finance functions in order to include such attestation report.</w:t>
      </w:r>
    </w:p>
    <w:p>
      <w:pPr>
        <w:spacing w:after="0" w:line="21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may in the future discover weaknesses in our system of internal financial and accounting controls and procedures that could result in a material misstatement of our consolidated financial statements. Our internal control over financial reporting will not prevent or detect all error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identify one or more material weaknesses in our internal controls, investors could lose confidence in the reliability of our consolidated financial statements, the market price of our stock could decline and we could be subject to sanctions or investigations by Nasdaq, the SEC or other regulatory authorities.</w:t>
      </w:r>
    </w:p>
    <w:p>
      <w:pPr>
        <w:spacing w:after="0" w:line="20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cannot predict if the reduced reporting requirements applicable to smaller reporting companies will make our securities less attractive to investors.</w:t>
      </w:r>
    </w:p>
    <w:p>
      <w:pPr>
        <w:spacing w:after="0" w:line="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We are a “smaller reporting company” under the Exchange Act as of June 30, 2024. We may continue to be a smaller reporting company if either (i) the market value of our common stock held by non-affiliates is less than $250 million or (ii) our annual revenue was less than $100.0 million during the most recently completed fiscal year and the market value of our common stock held by non-affiliates is less than $700.0 million. As a smaller reporting company, we may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 For so long as we remain a smaller reporting company, we are permitted and intend to rely on such exemptions from certain disclosure and other requirements that are applicable to other public companies that are not smaller reporting companies.</w:t>
      </w:r>
    </w:p>
    <w:p>
      <w:pPr>
        <w:spacing w:after="0" w:line="204"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 exemptions and reduced disclosure obligations applicable to smaller reporting companies. If some investors find our securities less attractive as a result, there may be a less active trading market for our common stock and our stock price may be more volatile.</w:t>
      </w:r>
    </w:p>
    <w:p>
      <w:pPr>
        <w:spacing w:after="0" w:line="20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or shareholder derivative litigation that could divert management’s attention and harm our business and insurance coverage may not be sufficient to cover all costs and damages.</w:t>
      </w:r>
    </w:p>
    <w:p>
      <w:pPr>
        <w:spacing w:after="0" w:line="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the past, securities class action or shareholder derivative litigation has often followed certain significant business transactions, such as the sale of a business division or announcement of a merger. This risk is especially relevant for us because biopharmaceutical companies have experienced significant stock price volatility in recent years. We may become involved in this type of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 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213"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62" w:name="page63"/>
    <w:bookmarkEnd w:id="62"/>
    <w:p>
      <w:pPr>
        <w:ind w:right="120"/>
        <w:spacing w:after="0" w:line="249" w:lineRule="auto"/>
        <w:rPr>
          <w:sz w:val="20"/>
          <w:szCs w:val="20"/>
          <w:color w:val="auto"/>
        </w:rPr>
      </w:pPr>
      <w:r>
        <w:rPr>
          <w:rFonts w:ascii="Times New Roman" w:cs="Times New Roman" w:eastAsia="Times New Roman" w:hAnsi="Times New Roman"/>
          <w:sz w:val="18"/>
          <w:szCs w:val="18"/>
          <w:color w:val="auto"/>
        </w:rPr>
        <w:t>Provisions in our corporate charter and by-laws may discourage, delay or prevent a merger, acquisition or other change in control of our Company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3"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the board of directors;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5" w:lineRule="exact"/>
        <w:rPr>
          <w:rFonts w:ascii="Times New Roman" w:cs="Times New Roman" w:eastAsia="Times New Roman" w:hAnsi="Times New Roman"/>
          <w:sz w:val="18"/>
          <w:szCs w:val="18"/>
          <w:color w:val="auto"/>
        </w:rPr>
      </w:pPr>
    </w:p>
    <w:p>
      <w:pPr>
        <w:ind w:left="640" w:right="600" w:hanging="316"/>
        <w:spacing w:after="0" w:line="245"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the board of directors;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5" w:lineRule="exact"/>
        <w:rPr>
          <w:rFonts w:ascii="Times New Roman" w:cs="Times New Roman" w:eastAsia="Times New Roman" w:hAnsi="Times New Roman"/>
          <w:sz w:val="18"/>
          <w:szCs w:val="18"/>
          <w:color w:val="auto"/>
        </w:rPr>
      </w:pPr>
    </w:p>
    <w:p>
      <w:pPr>
        <w:ind w:left="640" w:right="60" w:hanging="316"/>
        <w:spacing w:after="0" w:line="245"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to issue preferred stock without stockholder approval, which could be used to institute a shareholder rights plan, or so-called “poison pill,” that would work to dilute the stock ownership of a potential hostile acquirer, effectively preventing acquisitions that have not been approved by the board of directors; and</w:t>
      </w:r>
    </w:p>
    <w:p>
      <w:pPr>
        <w:spacing w:after="0" w:line="2"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21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the Company for a period of three years after the date of the transaction in which the person acquired in excess of 15% of our outstanding voting stock, unless the merger or combination is approved in a prescribed manner.</w:t>
      </w:r>
    </w:p>
    <w:p>
      <w:pPr>
        <w:spacing w:after="0" w:line="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substantially all disputes between the Company and our stockholders, which could limit our stockholders’ ability to obtain a favorable judicial forum for disputes with the Company or our directors, officers, employees or stockholders.</w:t>
      </w:r>
    </w:p>
    <w:p>
      <w:pPr>
        <w:spacing w:after="0" w:line="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 any derivative action or proceeding brought on the Company’s behalf, any action asserting a breach of fiduciary duty owed by our directors, officers, other employees or stockholders to the Company or our stockholders, any action asserting a claim against the Company arising pursuant to the Delaware General Corporation Law or as to which the Delaware General Corporation Law confers jurisdiction on the Court of Chancery of the State of Delaware, or any action asserting a claim arising pursuant to our certificate of incorporation or by-laws or governed by the internal affairs doctrine. This provision may limit a stockholder’s ability to bring a claim in a judicial forum that it finds favorable for disputes with the Company or our directors, officers, employees or stockholders, which may discourage such lawsuits against the Company and our directors, officers, employees or stockholders.</w:t>
      </w:r>
    </w:p>
    <w:p>
      <w:pPr>
        <w:spacing w:after="0" w:line="21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Alternatively, if a court were to find this provision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management recognizes the impact that cybersecurity threats could have on our business operations, our compliance with regulations, and our reputation.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identified cybersecurity as a critical business risk as part of our overall risk management strategy, which our board of directors oversees.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implemented a cybersecurity program in accordance with our risk profile and business that includes, among other things, written policies, monitoring and filtering procedures, and employee training. We have also developed an incident response policy and procedure designed to facilitate the timely reporting and assessment of cybersecurity incidents.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393" w:right="359" w:bottom="1440" w:gutter="0" w:footer="0" w:header="0"/>
        </w:sectPr>
      </w:pPr>
    </w:p>
    <w:bookmarkStart w:id="63" w:name="page64"/>
    <w:bookmarkEnd w:id="63"/>
    <w:p>
      <w:pPr>
        <w:spacing w:after="0" w:line="192"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7"/>
          <w:szCs w:val="17"/>
          <w:color w:val="auto"/>
        </w:rPr>
        <w:t>Our cybersecurity risk management program, which is part of our enterprise risk management program, aims to identify risks related to the Company, including risks from cybersecurity threats. Our cybersecurity risk management program includes a number of components, including informal self-assessments and audits, penetration testing, and vulnerability assessments, that are conducted periodically by both internal and external resources. The Company also analyzes current and emerging cyber threats that pose a risk to the organization using various threat intelligence tools and services.</w:t>
      </w:r>
    </w:p>
    <w:p>
      <w:pPr>
        <w:spacing w:after="0" w:line="194"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8"/>
          <w:szCs w:val="18"/>
          <w:color w:val="auto"/>
        </w:rPr>
        <w:t>As part of our cybersecurity risk management program, we take a risk-based approach to the evaluation of third-party vendors, and apply mitigations and processes based on our evaluation of the sensitivity of the data accessed by the vendor and the maturity of the vendor’s programs. Our vendor evaluation procedures include, as appropriate, the review of vendors’ SOC 2 Type 2 reports and a vendor security questionnaire.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Our Director of Infrastructure, Operations and Cybersecurity, who has over ten years of experience managing organizational operations, security and infrastructure, manages the Company’s cybersecurity program. We have a cyber subcommittee (the “Subcommittee”), which includes members of our finance, legal, and IT departments, that meets periodically to discuss the Company’s ongoing cybersecurity efforts. The Subcommittee reports to the Chief Operating Officer (“COO”) and Chief Financial Officer (“CFO”), who report outputs from the Subcommittee regarding potential cybersecurity risks to the Company’s executive team and the board. The Director of Infrastructure, Operations &amp; Cybersecurity is responsible for the day-to-day monitoring and remediation of cybersecurity risks.</w:t>
      </w:r>
    </w:p>
    <w:p>
      <w:pPr>
        <w:spacing w:after="0" w:line="21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board is responsible for informed oversight of our risk management process. The board administers this oversight function through various board standing committees that address risks inherent in their respective areas of oversight. The board has delegated oversight for cybersecurity risk management to the Audit Committee. The Audit Committee reviews the Company’s policies and procedures with respect to cybersecurity risk management.</w:t>
      </w:r>
    </w:p>
    <w:p>
      <w:pPr>
        <w:spacing w:after="0" w:line="204"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7"/>
          <w:szCs w:val="17"/>
          <w:color w:val="auto"/>
        </w:rPr>
        <w:t>Although risks from cybersecurity threats have to date not materially affected us, our business strategy, results of operations or financial condition, we have, from time to time, experienced threats to and breaches of our and our third-party vendors’ data and systems. For more information, see Item 1A. Risk Factors.</w:t>
      </w:r>
    </w:p>
    <w:p>
      <w:pPr>
        <w:spacing w:after="0" w:line="200" w:lineRule="exact"/>
        <w:rPr>
          <w:sz w:val="20"/>
          <w:szCs w:val="20"/>
          <w:color w:val="auto"/>
        </w:rPr>
      </w:pPr>
    </w:p>
    <w:p>
      <w:pPr>
        <w:spacing w:after="0" w:line="28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lease approximately 28,000 square feet of office space at 61 North Beacon Street, 4th Floor, Boston, Massachusetts, which serves as our corporate headquarters. The lease expires on November 30, 2026. The base monthly payment on the lease is approximately $91 thousand as of December 31, 2024, subject to specified annual increases of approximately 3% during the term of the lease and not including operating expenses, certain utilities, taxes and insurance for which we are responsible. We have the right to sublease the premises, subject to landlord consent and we have the right to renew the lease for an additional five years at the then-prevailing effective market rental rate.</w:t>
      </w:r>
    </w:p>
    <w:p>
      <w:pPr>
        <w:spacing w:after="0" w:line="212"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We lease approximately 1,200 square meters of laboratory and office space in Vienna, Austria under a lease that will expire in March 2028, with a monthly payment of approximately $24 thousand.</w:t>
      </w:r>
    </w:p>
    <w:p>
      <w:pPr>
        <w:spacing w:after="0" w:line="2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From time to time, we may be involved in lawsuits, claims, investigations and proceedings, consisting of intellectual property, commercial, employment and other matters which arise in the ordinary course of business. While the outcome of any such proceedings cannot be predicted with certainty, as of December 31, 2024, we were not party to any legal proceedings.</w:t>
      </w:r>
    </w:p>
    <w:p>
      <w:pPr>
        <w:spacing w:after="0" w:line="29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23" w:lineRule="exact"/>
        <w:rPr>
          <w:sz w:val="20"/>
          <w:szCs w:val="20"/>
          <w:color w:val="auto"/>
        </w:rPr>
      </w:pPr>
    </w:p>
    <w:p>
      <w:pPr>
        <w:ind w:left="880" w:right="380" w:hanging="1271"/>
        <w:spacing w:after="0" w:line="276"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common stock commenced trading on the Nasdaq Global Market under the symbol “ASNS” on November 16, 2017. Prior to that date, there was no public trading market for our common stock. On March 13, 2019, we completed a business combination in accordance with the terms of the Merger Agreement, by and among us, X4 Therapeutics, Inc. (formerly X4 Pharmaceuticals, Inc.) and the Merger Sub, pursuant to which, among other matters, Merger Sub merged with and into X4 Therapeutics, Inc., with X4 Therapeutics, Inc. continuing as our wholly-owned subsidiary and the surviving corporation of the merger. Following the Merger, on March 14, 2019, we effected a 1-for-6 reverse stock split of our common stock and changed our name to “X4 Pharmaceuticals, Inc.” On March 13, 2019, following the completion of the Merger, our common stock began trading on the Nasdaq Capital Market under the symbol “XFOR”.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As of March 13, 2025, there were 48 holders of record of our common stock, one of which is Cede &amp; Co., a nominee for Depository Trust Company (“DTC”). All of the shares of common stock held by brokerage firms, banks and other financial institutions as nominees for beneficial owners are deposited into participant accounts at DTC, and are considered to be held of record by Cede &amp; Co. as one stockholder.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 on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200" w:lineRule="exact"/>
        <w:rPr>
          <w:sz w:val="20"/>
          <w:szCs w:val="20"/>
          <w:color w:val="auto"/>
        </w:rPr>
      </w:pPr>
    </w:p>
    <w:p>
      <w:pPr>
        <w:spacing w:after="0" w:line="3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the related notes and the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these forward-looking statements.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For the discussion of the financial condition and results of operations for the year ended December 31, 2023 compared to the year ended December 31, 2022, refer to “Management’s Discussion and Analysis of Financial Condition and Results of Operations” to our Annual Report on Form 10-K filed with the SEC on March 21, 2024.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are a biopharmaceutical company discovering, developing, and commercializing novel therapeutics for the treatment of rare diseases and those with limited treatment options, with a focus on conditions resulting from dysfunction of the immune system. On April 29, 2024, we announced that the U.S. FDA approved our NDA for mavorixafor, which is being marketed in the U.S. under the trade name XOLREMDI, for use as an oral, once-daily therapy in patients aged 12 years of age and older with WHIM (warts, hypogammaglobulinemia, infections, and myelokathexis) syndrome, to increase the number of circulating mature neutrophils and lymphocytes. WHIM syndrome (Warts, Hypogammaglobulinemia, Infections, and Myelokathexis) is a rare combined primary immunodeficiency and chronic neutropenic disorder. Concurrent with the U.S. approval of XOLREMDI and pursuant to its Rare Pediatric Disease designation, the FDA granted us a PRV that we sold to another drug sponsor shortly thereafter.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XOLREMDI Commercial Launch</w:t>
      </w:r>
    </w:p>
    <w:p>
      <w:pPr>
        <w:spacing w:after="0" w:line="2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We are currently engaged in our U.S. launch of XOLREMDI in WHIM syndrome, continuing our engagements with physicians and rare disease patient advocacy organizations and our disease-awareness campaign to further the understanding of WHIM syndrome and educate patients and physicians on the importance and benefits of early diagnosis. We have entered into agreements with a third-party logistics organization and a specialty pharmacy to support the distribution of XOLREMDI in the U.S., to mitigate barriers to product access, and to provide a suite of patient support services to help patients through their treatment journey. We submitted a Marketing Authorisation Application (“MAA”) to the European Medicines Agency (“EMA”) in early 2025 seeking regulatory approval to commercialize mavorixafor for WHIM syndrome outside of the U.S. Such MAA was accepted for processing by the EMA in January 2025. As discussed further below, on January 13, 2025, we entered into a License and Supply Agreement (the “Norgine Agreement”) with Norgine Pharma UK Limited (“Norgine”), pursuant to which Norgine is granted an exclusive license to distribute, market and sell our drug product for all indications in the European Economic Area, Switzerland, the United Kingdom, Australia and New Zealand. In February 2025, we announced that we had entered into an agreement with taiba rare to distribute and commercialize XOLREMDI for the treatment of WHIM syndrome in select Middle East and North African countries. We continue to explore additional potential commercial and distribution opportunities in geographies where we may be able to efficiently leverage any of our regulatory approvals.</w:t>
      </w:r>
    </w:p>
    <w:p>
      <w:pPr>
        <w:spacing w:after="0" w:line="2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 approval of XOLREMDI in the WHIM syndrome indication is the first for mavorixafor, which is an orally active, selective antagonist of chemokine receptor CXCR4, a key regulator of the movement of immune cells throughout the body. Due to its ability to increase the mobilization of white blood cells from the bone marrow into the bloodstream, we believe that mavorixafor has the potential to provide therapeutic benefit across a variety of immune system disorders in addition to WHIM syndrome.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Clinical Study in Chronic Neutropenia</w:t>
      </w:r>
    </w:p>
    <w:p>
      <w:pPr>
        <w:spacing w:after="0" w:line="2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Following positive results from a Phase 1b clinical study of a single dose of mavorixafor in people with idiopathic, cyclic, and congenital chronic neutropenia (“CN”), we recently completed and announced positive results from a Phase 2 clinical study evaluating the durability of effect, safety, and tolerability of chronic dosing of once-daily oral mavorixafor with or without concurrent treatment with injectable granulocyte colony-stimulating factor (“G-CSF”) in the same patient population.</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6" w:name="page67"/>
    <w:bookmarkEnd w:id="66"/>
    <w:p>
      <w:pPr>
        <w:ind w:right="380"/>
        <w:spacing w:after="0" w:line="255" w:lineRule="auto"/>
        <w:rPr>
          <w:sz w:val="20"/>
          <w:szCs w:val="20"/>
          <w:color w:val="auto"/>
        </w:rPr>
      </w:pPr>
      <w:r>
        <w:rPr>
          <w:rFonts w:ascii="Times New Roman" w:cs="Times New Roman" w:eastAsia="Times New Roman" w:hAnsi="Times New Roman"/>
          <w:sz w:val="18"/>
          <w:szCs w:val="18"/>
          <w:color w:val="auto"/>
        </w:rPr>
        <w:t>The results from the completed six-month study showed that once-daily oral mavorixafor was generally well tolerated and durably increased participants’ absolute neutrophil counts (“ANC”) both as a monotherapy and in combination with G-CSF, the only therapy approved in the U.S. for severe chronic neutropenia. In addition, when tested in combination with G-CSF, mavorixafor treatment enabled physicians to substantially reduce G-CSF dosing while maintaining normal mean ANC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3 Clinical Trial in Chronic Neutropenia</w:t>
      </w:r>
    </w:p>
    <w:p>
      <w:pPr>
        <w:spacing w:after="0" w:line="28"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We continue to progress our global, pivotal Phase 3 clinical trial, (the “4WARD” study) to evaluate the efficacy, safety, and tolerability of oral, once-daily mavorixafor (with or without stable doses of G-CSF) in people with congenital, acquired primary autoimmune, or idiopathic CN who are experiencing recurrent and/or serious infections. The 52-week trial is a randomized, double-blind, placebo-controlled, multicenter study aiming to enroll 150 participants. We believe we are on track to complete enrollment in the 4WARD study in the third or fourth quarter of 2025.</w:t>
      </w:r>
    </w:p>
    <w:p>
      <w:pPr>
        <w:spacing w:after="0" w:line="215" w:lineRule="exact"/>
        <w:rPr>
          <w:sz w:val="20"/>
          <w:szCs w:val="20"/>
          <w:color w:val="auto"/>
        </w:rPr>
      </w:pPr>
    </w:p>
    <w:p>
      <w:pPr>
        <w:ind w:right="660"/>
        <w:spacing w:after="0" w:line="304" w:lineRule="auto"/>
        <w:rPr>
          <w:sz w:val="20"/>
          <w:szCs w:val="20"/>
          <w:color w:val="auto"/>
        </w:rPr>
      </w:pPr>
      <w:r>
        <w:rPr>
          <w:rFonts w:ascii="Times New Roman" w:cs="Times New Roman" w:eastAsia="Times New Roman" w:hAnsi="Times New Roman"/>
          <w:sz w:val="17"/>
          <w:szCs w:val="17"/>
          <w:color w:val="auto"/>
        </w:rPr>
        <w:t>We believe that successfully developing and commercializing mavorixafor to provide a new therapeutic option to individuals diagnosed with certain immunodeficiencies has the potential to revolutionize the current treatment landscape, which is principally served by injectable and infused therapies.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Restructuring</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February 2025, we implemented a strategic restructuring of our business operations, workforce and capital spending to focus efforts on advancing mavorixafor to treat those with chronic neutropenia, while also optimizing its U.S. promotion of XOLREMDI (the “2025 Restructuring”). As part of the 2025 Restructuring, we implemented a net reduction of our employee headcount by 43 employees, or approximately 30% of our total workforce. The strategic restructuring activities include (i) discontinuing of research efforts, (ii) closing of our facility in Vienna, Austria, (iii) pausing pre-clinical drug candidate programs, (iv) scaling the U.S. commercial field team and supporting roles across our business and (v) streamlining other spending to support the ongoing clinical development of mavorixafor for the larger population of those with chronic neutropenia. We estimate that the workforce reduction will be substantially completed in the first quarter of 2025. We estimate that it will incur charges of approximately $3.0 million for severance and other employee termination-related costs, primarily in the first quarter of 2025. We expect the 2025 Restructuring will decrease annual spending by $30 to 35 million and believe it will have sufficient funds to support operations into the first half of 2026. The estimate of costs that we expect to incur related to the 2025 Restructuring as well as the decrease in annual spending, and the timing thereof are subject to a number of assumptions and actual results may differ.</w:t>
      </w:r>
    </w:p>
    <w:p>
      <w:pPr>
        <w:spacing w:after="0" w:line="21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We may also incur additional costs not currently contemplated due to events that may occur as a result of, or that are associated with, the actions described for the 2025 Restructuring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Norgine Agreement</w:t>
      </w:r>
    </w:p>
    <w:p>
      <w:pPr>
        <w:spacing w:after="0" w:line="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January 13, 2025, we entered into the Norgine Agreement, pursuant to which Norgine is granted an exclusive license to distribute, market and sell our product mavorixafor for all indications in the European Economic Area, Switzerland, the United Kingdom, Australia and New Zealand following regulatory approval. Pursuant to the terms of the Norgine Agreement, we received an upfront payment of €28.5 million upon signing of the agreement and could receive up to €226.0 million upon the achievement of certain regulatory, commercial and sales milestones. We will also receive escalating, double-digit royalties of up to mid-twenties on any future net sales of our drug product by Norgine. Norgine will be responsible for all market access and commercialization activities and will eventually hold all marketing authorizations in the licensed territories. We will manufacture and supply drug product to Norgine for a supply price derived from our product manufacturing cost plus a low double-teen digit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periods indicated: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5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3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331"/>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331"/>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0" w:type="dxa"/>
            <w:vAlign w:val="bottom"/>
          </w:tcPr>
          <w:p>
            <w:pPr>
              <w:spacing w:after="0"/>
              <w:rPr>
                <w:sz w:val="1"/>
                <w:szCs w:val="1"/>
                <w:color w:val="auto"/>
              </w:rPr>
            </w:pPr>
          </w:p>
        </w:tc>
      </w:tr>
      <w:tr>
        <w:trPr>
          <w:trHeight w:val="225"/>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non-financial asset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311"/>
        </w:trPr>
        <w:tc>
          <w:tcPr>
            <w:tcW w:w="55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w:t>
            </w: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1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(68,564)</w:t>
            </w:r>
          </w:p>
        </w:tc>
        <w:tc>
          <w:tcPr>
            <w:tcW w:w="0" w:type="dxa"/>
            <w:vAlign w:val="bottom"/>
          </w:tcPr>
          <w:p>
            <w:pPr>
              <w:spacing w:after="0"/>
              <w:rPr>
                <w:sz w:val="1"/>
                <w:szCs w:val="1"/>
                <w:color w:val="auto"/>
              </w:rPr>
            </w:pPr>
          </w:p>
        </w:tc>
      </w:tr>
      <w:tr>
        <w:trPr>
          <w:trHeight w:val="311"/>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(36,401)</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71,121</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0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4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0" w:type="dxa"/>
            <w:vAlign w:val="bottom"/>
          </w:tcPr>
          <w:p>
            <w:pPr>
              <w:spacing w:after="0"/>
              <w:rPr>
                <w:sz w:val="1"/>
                <w:szCs w:val="1"/>
                <w:color w:val="auto"/>
              </w:rPr>
            </w:pPr>
          </w:p>
        </w:tc>
      </w:tr>
      <w:tr>
        <w:trPr>
          <w:trHeight w:val="218"/>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63,949</w:t>
            </w: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vMerge w:val="restart"/>
          </w:tcPr>
          <w:p>
            <w:pPr>
              <w:jc w:val="right"/>
              <w:ind w:right="89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40" w:type="dxa"/>
            <w:vAlign w:val="bottom"/>
          </w:tcPr>
          <w:p>
            <w:pPr>
              <w:spacing w:after="0"/>
              <w:rPr>
                <w:sz w:val="18"/>
                <w:szCs w:val="18"/>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63,717</w:t>
            </w:r>
          </w:p>
        </w:tc>
        <w:tc>
          <w:tcPr>
            <w:tcW w:w="0" w:type="dxa"/>
            <w:vAlign w:val="bottom"/>
          </w:tcPr>
          <w:p>
            <w:pPr>
              <w:spacing w:after="0"/>
              <w:rPr>
                <w:sz w:val="1"/>
                <w:szCs w:val="1"/>
                <w:color w:val="auto"/>
              </w:rPr>
            </w:pPr>
          </w:p>
        </w:tc>
      </w:tr>
      <w:tr>
        <w:trPr>
          <w:trHeight w:val="78"/>
        </w:trPr>
        <w:tc>
          <w:tcPr>
            <w:tcW w:w="5500" w:type="dxa"/>
            <w:vAlign w:val="bottom"/>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700" w:type="dxa"/>
            <w:vAlign w:val="bottom"/>
            <w:tcBorders>
              <w:bottom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Net revenue from the sale of our drug product was $2.6 million for the year ended December 31, 2024. There was no product revenue in the prior periods. We sell our approved drug product in the U.S. to a specialty pharmacy that dispenses the product to patients who have been prescribed our drug product by their health-care providers. We also sell our drug product through international distributors. There were no sales to international distributors for the year ended December 31, 2024. Net revenue includes reserves for distributor discounts, estimated rebates that we may owe to U.S. government payors, future co-pay assistance payments that we may owe for patients who enroll in our patient assistance program, and for potential product returns. As we have just recently launched our first drug product in the U.S. in 2024, we have limited history of returns or downstream rebates or co-pay assistance payments. Therefore, we expect to adjust these estimates quarterly as new information becomes available.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cost of revenue was $0.8 million. There was no cost of revenue in prior periods.</w:t>
      </w:r>
    </w:p>
    <w:p>
      <w:pPr>
        <w:spacing w:after="0" w:line="5" w:lineRule="exact"/>
        <w:rPr>
          <w:sz w:val="20"/>
          <w:szCs w:val="20"/>
          <w:color w:val="auto"/>
        </w:rPr>
      </w:pPr>
    </w:p>
    <w:p>
      <w:pPr>
        <w:jc w:val="both"/>
        <w:ind w:right="180"/>
        <w:spacing w:after="0" w:line="248" w:lineRule="auto"/>
        <w:rPr>
          <w:sz w:val="20"/>
          <w:szCs w:val="20"/>
          <w:color w:val="auto"/>
        </w:rPr>
      </w:pPr>
      <w:r>
        <w:rPr>
          <w:rFonts w:ascii="Times New Roman" w:cs="Times New Roman" w:eastAsia="Times New Roman" w:hAnsi="Times New Roman"/>
          <w:sz w:val="18"/>
          <w:szCs w:val="18"/>
          <w:color w:val="auto"/>
        </w:rPr>
        <w:t>Cost of revenue primarily consists of $0.5 million of amortization of an intangible asset related to accrued and paid milestone payments associated with our Genzyme license agreement, $0.2 million of sales-based royalty payments accrued and paid under our Genzyme license agreement, and $0.1 million of drug product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in connection with the development of our product candidates, including employee salaries and related expenses for personnel in our clinical operations, biostatistics, medical affairs, manufacturing and technical, quality and regulatory affairs departments; external expenses incurred in connection with the clinical development of our product candidates, including under agreements with third parties, such as consultants and contract research organizations (“CROs”); the cost of manufacturing drug products for use in our clinical trials, including under agreements with third parties, such as consultants and contract manufacturing organizations (“CMOs”); facilities, depreciation and other expenses, which include direct or allocated expenses for rent and maintenance of facilities and insurance; and costs related to compliance with regulatory requirements. We expense research and development costs as incurred. We capitalized as intangible assets certain milestone payments due under our key in-license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4253865</wp:posOffset>
            </wp:positionH>
            <wp:positionV relativeFrom="page">
              <wp:posOffset>913765</wp:posOffset>
            </wp:positionV>
            <wp:extent cx="2692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31115</wp:posOffset>
            </wp:positionV>
            <wp:extent cx="2692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70" w:lineRule="exact"/>
        <w:rPr>
          <w:sz w:val="20"/>
          <w:szCs w:val="20"/>
          <w:color w:val="auto"/>
        </w:rPr>
      </w:pPr>
    </w:p>
    <w:p>
      <w:pPr>
        <w:ind w:left="6920"/>
        <w:spacing w:after="0"/>
        <w:tabs>
          <w:tab w:leader="none" w:pos="8340" w:val="left"/>
          <w:tab w:leader="none" w:pos="97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31115</wp:posOffset>
            </wp:positionV>
            <wp:extent cx="2692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92400" cy="8255"/>
                    </a:xfrm>
                    <a:prstGeom prst="rect">
                      <a:avLst/>
                    </a:prstGeom>
                    <a:noFill/>
                  </pic:spPr>
                </pic:pic>
              </a:graphicData>
            </a:graphic>
          </wp:anchor>
        </w:drawing>
      </w:r>
    </w:p>
    <w:p>
      <w:pPr>
        <w:spacing w:after="0" w:line="58"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6739255" cy="168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9255" cy="168275"/>
                    </a:xfrm>
                    <a:prstGeom prst="rect">
                      <a:avLst/>
                    </a:prstGeom>
                    <a:noFill/>
                  </pic:spPr>
                </pic:pic>
              </a:graphicData>
            </a:graphic>
          </wp:anchor>
        </w:drawing>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Direct research and development expenses by product candidate: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Mavorixafor (X4P-001)</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41,483</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331"/>
        </w:trPr>
        <w:tc>
          <w:tcPr>
            <w:tcW w:w="6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X4P-002</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FF0FC"/>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331"/>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X4P-003</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31"/>
        </w:trPr>
        <w:tc>
          <w:tcPr>
            <w:tcW w:w="6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Unallocated expense</w:t>
            </w: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w:t>
            </w:r>
          </w:p>
        </w:tc>
        <w:tc>
          <w:tcPr>
            <w:tcW w:w="80" w:type="dxa"/>
            <w:vAlign w:val="bottom"/>
            <w:shd w:val="clear" w:color="auto" w:fill="CFF0FC"/>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30,813</w:t>
            </w:r>
          </w:p>
        </w:tc>
        <w:tc>
          <w:tcPr>
            <w:tcW w:w="80" w:type="dxa"/>
            <w:vAlign w:val="bottom"/>
            <w:shd w:val="clear" w:color="auto" w:fill="CFF0FC"/>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11"/>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40" w:type="dxa"/>
            <w:vAlign w:val="bottom"/>
            <w:vMerge w:val="restart"/>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81,643</w:t>
            </w:r>
          </w:p>
        </w:tc>
        <w:tc>
          <w:tcPr>
            <w:tcW w:w="5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73"/>
        </w:trPr>
        <w:tc>
          <w:tcPr>
            <w:tcW w:w="63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increased by $9.6 million for the year ended December 31, 2024, as compared to the prior year primarily due to an increase in unallocated expense. Unallocated expense increased primarily due to an increase in personnel within our research and development functions, primarily in our clinical operations, biostatistics, medical affairs, manufacturing and technical, and quality organizations.</w:t>
      </w:r>
    </w:p>
    <w:p>
      <w:pPr>
        <w:spacing w:after="0" w:line="20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We expect that our research and development expenses, particularly for our mavorixafor programs, will be relatively consistent over the next several years as we continue to conduct our clinical trials of mavorixafor in chronic neutropenic disorders. Research and development expenses related to our X4P-002 and X4P-003 programs was not significant in 2024 or 2023 relative to our overall research and development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related costs, including stock-based compensation for personnel in sales and marketing, executive, finance and administrative functions. Selling, general and administrative expenses also include direct and allocated facility-related costs, as well as professional fees for legal, patent, consulting, investor and public relations, accounting, and audit services.</w:t>
      </w:r>
    </w:p>
    <w:p>
      <w:pPr>
        <w:spacing w:after="0" w:line="21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Selling, general and administrative expenses increased by $26.0 million to $61.5 million for the year ended December 31, 2024 as compared to $35.5 million in the prior year. The increase in selling, general and administrative expense was primarily due to an increase of $15.2 million in selling and marketing expenses, including increases in sales and marketing personnel and external marketing costs to support the ongoing launch activities of our approved product, XOLREMDI in the U.S. Selling, general and administrative expenses also increased due to an increase of $10.8 million in general and administrative expenses, primarily due to higher legal, corporate communications, accounting, information technology, and professional service costs associated with the ongoing commercialization of our drug product.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Non-Financial Asset</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During the year ended December 31, 2024, we entered into contractual arrangement with a third party that transferred the rights to a Priority Review Voucher (“PRV”) awarded to the Company as a result of the FDA’s approval of XOLREMDI. The PRV was accounted for as an intangible asset with no accounting cost basis. The third party purchased the PRV for $105.0 million. As a result of the transfer of control of the PRV to the third party, the Company derecognized the associated intangible asset and recorded a gain through “gain on transfer of nonfinancial assets.” There was no such transaction in year ended December 31, 2023 and we do not expect similar PRV sales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Our operating expenses decreased by $68.6 million for the year ended December 31, 2024 as compared to the prior year. Excluding the impact of the PRV sale, operating expenses increased $36.4 million in the current year as compared to the prior year, primarily due to an increase in head count to support our U.S. launch of XOLREMDI and to support our 4WARD clinical trial. As a result of the strategic restructuring of our workforce and capital spending to focus efforts on advancing mavorixafor to treat those with chronic neutropenia, while also optimizing its U.S. promotion of XOLREMDI, we expect that our operating expenses will decrease by approximately $30.0 million to $35.0 million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34290</wp:posOffset>
            </wp:positionV>
            <wp:extent cx="29197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6"/>
        </w:trPr>
        <w:tc>
          <w:tcPr>
            <w:tcW w:w="6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
        </w:trPr>
        <w:tc>
          <w:tcPr>
            <w:tcW w:w="62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7"/>
        </w:trPr>
        <w:tc>
          <w:tcPr>
            <w:tcW w:w="6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6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4"/>
        </w:trPr>
        <w:tc>
          <w:tcPr>
            <w:tcW w:w="6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
        </w:trPr>
        <w:tc>
          <w:tcPr>
            <w:tcW w:w="6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6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3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(8,768)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3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and derivative liabilities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 program</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5"/>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increase in other (expense) income, net, of $7.2 million for the year ended December 31, 2024 as compared to 2023 was primarily due (i) lower income resulting from the decrease in the fair value of outstanding Class C warrants, which are accounted for as a liability and are remeasured to fair value each period, as compared to the prior year and, (ii) an increase in interest expense associated with the Hercules Loan agreement due to more borrowings outstanding during the current period. These increases were partially offset by higher interest income earned in the current year on our marketable security portfolio as compared to the prior year.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we recorded an income tax provision of $0.3 million related to our U.S. operations and related to our Austrian subsidiary. Our tax provision in the year ended December 31, 2023 was related to our U.S. security corporation, which holds our investment portfolio, and our Austrian subsidiary. During the current year, our U.S. entity generated taxable income due to the sale of a PRV voucher, which generated $105.0 million of taxable income, and product revenue, partially offset by available deductions, net operating loss carryforwards and available research and development credits. Our net operating loss carryforwards were limited under IRC 382 due to several qualifying changes in ownership resulting from certain of our equity financings and therefore we were not able to fully offset our taxable income in the current year. We do not expect to record a significant income tax benefit or expense for several years until such time as we begin to generate meaningful and sustained taxable income in our U.S. jurisdiction.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8" w:lineRule="exact"/>
        <w:rPr>
          <w:sz w:val="20"/>
          <w:szCs w:val="20"/>
          <w:color w:val="auto"/>
        </w:rPr>
      </w:pPr>
    </w:p>
    <w:p>
      <w:pPr>
        <w:ind w:right="2280"/>
        <w:spacing w:after="0" w:line="248"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sales of common stock, warrants and prefunded warrants for the purchase of our preferred stock and our common stock, sales of preferred stock, proceeds from the issuance of convertible debt and borrowings under loan and security agreements.</w:t>
      </w:r>
    </w:p>
    <w:p>
      <w:pPr>
        <w:spacing w:after="0" w:line="20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ATM Sales Agreement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7, 2020, we have entered into a Controlled Equity Offering</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(“ATM Sales Agreement”), with B. Riley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Inc., Cantor Fitzgerald &amp; Co., and Stifel, Nicolaus &amp; Company, Incorporated (collectively the “Sales Agents”), pursuant to which we may offer and sell, at our sole discretion through one or more of the Sales Agents, shares of our common stock having an aggregate offering price of up to $75 million. To date, we have sold approximately $14.3 million of our common stock, net of offering costs, under the ATM Sales Agreement.</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LPC Agreement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January 2022, we entered into an agreement, (the “LPC Agreement”) with Lincoln Park Capital Fund LLC (“Lincoln Park”),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we have the right to sell to Lincoln Park shares of our common stock, having an aggregate value of up to $50.0 million, subject to certain limitations and conditions, at our request during a 36-month period. The shares of common stock that we may sell under the LPC Agreement are capped at an aggregate of 5.6 million shares, which amount may be adjusted under certain conditions as defined in the LPC Agreement. In January 2022, we raised $3.0 million from the sale of shares of our common stock through the LPC Agreement.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70" w:name="page71"/>
    <w:bookmarkEnd w:id="70"/>
    <w:p>
      <w:pPr>
        <w:ind w:right="6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Public and Private Equity Offerings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past several years we have funded our operations primarily from sales of common stock, warrants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prefunded warrants through both public offerings and private placements. For example, In March 2022, we sold shares of common stock and, in lieu of common stock, pre-funded warrants to purchase shares of common stock in a private placement for gross proceeds of $3.0 million, before offering expenses. In June 2022, we sold shares of common stock and, in lieu of common stock, pre-funded warrants to purchase shares of common stock in a private placement for gross proceeds of $55.7 million, before offering expenses. In December 2022, we sold shares of common stock and, in lieu of common stock, pre-funded warrants to purchase shares of common stock in a public offering for gross proceeds of $65.1 million, before offering expenses. In May 2023, we sold shares of common stock and, in lieu of common stock, pre-funded warrants to purchase shares of common stock in a private placement for gross proceeds of $65.0 million, before offering expenses.</w:t>
      </w:r>
    </w:p>
    <w:p>
      <w:pPr>
        <w:spacing w:after="0" w:line="2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Hercules Loan Agreement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entered into a Loan and Security Agreement, as most recently amended in August 2023 with Hercules Capital,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“Hercules Loan Agreement”). The Hercules Loan Agreement provides for an aggregate term loan facility of up to $107.5 million, less $75.0 million borrowed to date. Additional borrowings are subject to approval of the lender in its sole discretion. Borrowings under the Hercules Loan Agreement accrues interest at a variable rate equal to the greater of (i) 10.15% or (ii) 3.15% plus the Wall Street Journal prime rate and are repayable in monthly interest-only payments through March 1, 2027, and in equal monthly payments of principal and accrued interest until July 1, 2027, which is the maturity date of the loans. The Hercules Loan Agreement requires that we maintain a minimum level of cash of $15.0 million, representing 20% of outstanding borrowings under the Hercules Loan Agreement, and we must comply with certain financial performance milestones.</w:t>
      </w:r>
    </w:p>
    <w:p>
      <w:pPr>
        <w:spacing w:after="0" w:line="20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i w:val="1"/>
          <w:iCs w:val="1"/>
          <w:color w:val="auto"/>
        </w:rPr>
        <w:t>PRV Sale</w:t>
      </w:r>
      <w:r>
        <w:rPr>
          <w:rFonts w:ascii="Times New Roman" w:cs="Times New Roman" w:eastAsia="Times New Roman" w:hAnsi="Times New Roman"/>
          <w:sz w:val="18"/>
          <w:szCs w:val="18"/>
          <w:color w:val="auto"/>
        </w:rPr>
        <w:t>— As noted above, during the year ended December 31, 2024 we sold a PRV for $105 million to a third party. We do not expect to recognize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PRV sales in the future.</w:t>
      </w:r>
    </w:p>
    <w:p>
      <w:pPr>
        <w:spacing w:after="0" w:line="186" w:lineRule="exact"/>
        <w:rPr>
          <w:sz w:val="20"/>
          <w:szCs w:val="20"/>
          <w:color w:val="auto"/>
        </w:rPr>
      </w:pPr>
    </w:p>
    <w:p>
      <w:pPr>
        <w:ind w:right="240"/>
        <w:spacing w:after="0" w:line="306" w:lineRule="auto"/>
        <w:rPr>
          <w:sz w:val="20"/>
          <w:szCs w:val="20"/>
          <w:color w:val="auto"/>
        </w:rPr>
      </w:pPr>
      <w:r>
        <w:rPr>
          <w:rFonts w:ascii="Times New Roman" w:cs="Times New Roman" w:eastAsia="Times New Roman" w:hAnsi="Times New Roman"/>
          <w:sz w:val="17"/>
          <w:szCs w:val="17"/>
          <w:i w:val="1"/>
          <w:iCs w:val="1"/>
          <w:color w:val="auto"/>
        </w:rPr>
        <w:t>Norgine Agreement</w:t>
      </w:r>
      <w:r>
        <w:rPr>
          <w:rFonts w:ascii="Times New Roman" w:cs="Times New Roman" w:eastAsia="Times New Roman" w:hAnsi="Times New Roman"/>
          <w:sz w:val="17"/>
          <w:szCs w:val="17"/>
          <w:color w:val="auto"/>
        </w:rPr>
        <w:t>— As noted above, on January 13, 2025, we entered into the Norgine Agreement, pursuant to which we received an upfront payment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€28.5 million in January 2025. Receipt of the upfront payment obligated us to process a sublicense royalty of approximately $4.5 million to Genzyme.</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Going Concern— </w:t>
      </w:r>
      <w:r>
        <w:rPr>
          <w:rFonts w:ascii="Times New Roman" w:cs="Times New Roman" w:eastAsia="Times New Roman" w:hAnsi="Times New Roman"/>
          <w:sz w:val="18"/>
          <w:szCs w:val="18"/>
          <w:color w:val="auto"/>
        </w:rPr>
        <w:t>Although we have an approved drug product, sales of the our drug product over the next 12 months will not be sufficient to fund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forecasted operating expenses. Since inception, we have incurred significant operating losses and negative cash flows from operations. As of December 31, 2024, we had $102.1 million of cash, cash equivalents and short-term marketable securities and an accumulated deficit of $515.4 million. For the year ended December 31, 2024, our net losses were $37.5 million and net cash used in operating activities of $130.9 million.</w:t>
      </w:r>
    </w:p>
    <w:p>
      <w:pPr>
        <w:spacing w:after="0" w:line="2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a covenant (the “Minimum Cash Covenant”) under our Hercules Loan Agreement that effective January 31, 2025 requires that we maintain a minimum level of cash of $15 million, representing 20% of outstanding borrowings under the Hercules Loan Agreement. Based on our current operating plan, which includes estimates of anticipated cash inflows from product sales and cash outflows from operating expenses, we believe there is a risk that we will not meet the conditions of the Minimum Cash Covenant within the 12-month period from the issuance date of these consolidated financial statements. In such case, Hercules could accelerate the principal payments on the our outstanding loans and we potentially would not have sufficient cash, cash equivalents and short-term marketable securities to settle such obligations. Accordingly, we have concluded that this condition meets the standard for raising substantial doubt about the our ability to continue as a going concern.</w:t>
      </w:r>
    </w:p>
    <w:p>
      <w:pPr>
        <w:spacing w:after="0" w:line="2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To alleviate the risk that the we violate the Minimum Cash Covenant and to finance our future operations, we will need to raise additional capital, which cannot be assured, and/or modify such Minimum Cash Covenant. Unless and until we reach profitability in the future, we will require additional capital to fund our operations, which could be raised through a combination of equity offerings, debt financings, other third-party funding, marketing and distribution arrangements, or other collaborations and strategic alliances. If we are unable to obtain funding, we could be forced to delay, reduce, or eliminate some or all of our research and development programs, product portfolio expansion or commercialization efforts, which would adversely affect our business prospects, or we may be unable to continue operations.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389" w:right="379" w:bottom="1440" w:gutter="0" w:footer="0" w:header="0"/>
        </w:sectPr>
      </w:pPr>
    </w:p>
    <w:bookmarkStart w:id="71" w:name="page72"/>
    <w:bookmarkEnd w:id="71"/>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 activities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955540" cy="210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55540" cy="21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4" w:lineRule="exact"/>
        <w:rPr>
          <w:sz w:val="20"/>
          <w:szCs w:val="20"/>
          <w:color w:val="auto"/>
        </w:rPr>
      </w:pPr>
    </w:p>
    <w:p>
      <w:pPr>
        <w:ind w:left="20" w:right="2000"/>
        <w:spacing w:after="0" w:line="261" w:lineRule="auto"/>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955540" cy="142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55540" cy="14287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4955540" cy="151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55540" cy="15113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Impact of foreign exchange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4955540" cy="151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55540" cy="15113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p>
      <w:pPr>
        <w:spacing w:after="0" w:line="124" w:lineRule="exact"/>
        <w:rPr>
          <w:sz w:val="20"/>
          <w:szCs w:val="20"/>
          <w:color w:val="auto"/>
        </w:rPr>
      </w:pPr>
    </w:p>
    <w:p>
      <w:pPr>
        <w:ind w:left="20" w:right="2640"/>
        <w:spacing w:after="0" w:line="336" w:lineRule="auto"/>
        <w:rPr>
          <w:sz w:val="20"/>
          <w:szCs w:val="20"/>
          <w:color w:val="auto"/>
        </w:rPr>
      </w:pPr>
      <w:r>
        <w:rPr>
          <w:rFonts w:ascii="Times New Roman" w:cs="Times New Roman" w:eastAsia="Times New Roman" w:hAnsi="Times New Roman"/>
          <w:sz w:val="17"/>
          <w:szCs w:val="17"/>
          <w:color w:val="auto"/>
        </w:rPr>
        <w:t>Cash, cash equivalents and restricted cash, beginning of period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134860" cy="151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2179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7932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-119380</wp:posOffset>
            </wp:positionV>
            <wp:extent cx="2179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79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128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380" w:type="dxa"/>
            <w:vAlign w:val="bottom"/>
          </w:tcPr>
          <w:p>
            <w:pPr>
              <w:spacing w:after="0"/>
              <w:rPr>
                <w:sz w:val="16"/>
                <w:szCs w:val="16"/>
                <w:color w:val="auto"/>
              </w:rPr>
            </w:pPr>
          </w:p>
        </w:tc>
        <w:tc>
          <w:tcPr>
            <w:tcW w:w="192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4"/>
        </w:trPr>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31"/>
        </w:trPr>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(37,450)</w:t>
            </w:r>
          </w:p>
        </w:tc>
        <w:tc>
          <w:tcPr>
            <w:tcW w:w="100" w:type="dxa"/>
            <w:vAlign w:val="bottom"/>
            <w:shd w:val="clear" w:color="auto" w:fill="CFF0FC"/>
          </w:tcPr>
          <w:p>
            <w:pPr>
              <w:spacing w:after="0"/>
              <w:rPr>
                <w:sz w:val="24"/>
                <w:szCs w:val="24"/>
                <w:color w:val="auto"/>
              </w:rPr>
            </w:pPr>
          </w:p>
        </w:tc>
        <w:tc>
          <w:tcPr>
            <w:tcW w:w="5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(101,167)</w:t>
            </w:r>
          </w:p>
        </w:tc>
      </w:tr>
      <w:tr>
        <w:trPr>
          <w:trHeight w:val="223"/>
        </w:trPr>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w:t>
            </w:r>
          </w:p>
        </w:tc>
      </w:tr>
      <w:tr>
        <w:trPr>
          <w:trHeight w:val="225"/>
        </w:trPr>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18"/>
        </w:trPr>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(96,512)</w:t>
            </w:r>
          </w:p>
        </w:tc>
      </w:tr>
      <w:tr>
        <w:trPr>
          <w:trHeight w:val="241"/>
        </w:trPr>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(14,883)</w:t>
            </w:r>
          </w:p>
        </w:tc>
      </w:tr>
      <w:tr>
        <w:trPr>
          <w:trHeight w:val="236"/>
        </w:trPr>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88,516</w:t>
            </w:r>
          </w:p>
        </w:tc>
      </w:tr>
      <w:tr>
        <w:trPr>
          <w:trHeight w:val="239"/>
        </w:trPr>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309"/>
        </w:trPr>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(43,773)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(22,780)</w:t>
            </w:r>
          </w:p>
        </w:tc>
      </w:tr>
      <w:tr>
        <w:trPr>
          <w:trHeight w:val="241"/>
        </w:trPr>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100,248</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123,028</w:t>
            </w:r>
          </w:p>
        </w:tc>
      </w:tr>
      <w:tr>
        <w:trPr>
          <w:trHeight w:val="285"/>
        </w:trPr>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56,475</w:t>
            </w:r>
          </w:p>
        </w:tc>
        <w:tc>
          <w:tcPr>
            <w:tcW w:w="640" w:type="dxa"/>
            <w:vAlign w:val="bottom"/>
            <w:gridSpan w:val="2"/>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100,248</w:t>
            </w:r>
          </w:p>
        </w:tc>
      </w:tr>
      <w:tr>
        <w:trPr>
          <w:trHeight w:val="22"/>
        </w:trPr>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00" w:space="720"/>
            <w:col w:w="3420"/>
          </w:cols>
          <w:pgMar w:left="320" w:top="1440" w:right="339" w:bottom="1440" w:gutter="0" w:footer="0" w:header="0"/>
        </w:sect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During the year ended December 31, 2024, net cash used in operating activities was $130.9 million, primarily resulting from our</w:t>
      </w:r>
    </w:p>
    <w:p>
      <w:pPr>
        <w:spacing w:after="0" w:line="4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operating losses and other (expense) income, net, of $142.5 million adjusted for noncash expenses of $8.9 million and changes in our operating assets and liabilities of $2.7 million. Noncash expenses primarily include stock-based compensation expense of $8.2 million and non-cash lease expense of $1.6 million, partially offset by $1.9 million of non-cash gains on the change in fair value of our Class C Warrant liability. The change of $2.3 million in operating assets and liabilities was primarily due to an increase in accrued expenses due to the timing of an operational milestone payment related to our Genzyme license and increased accrued expenses related to our ongoing clinical trials, partially offset by increases in accounts receivable and inventory. Cash used in operating activities was higher for the year ended December 31, 2024 as compared to the prior year primarily due to higher net losses in the current year.</w:t>
      </w:r>
    </w:p>
    <w:p>
      <w:pPr>
        <w:spacing w:after="0" w:line="16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During the year ended December 31, 2024, net cash provided by investing activities was $67.0 million, primarily due $105.0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from the sale of a PRV, partially offset by net investments in short-term marketable securities. Cash used in investing activities for the year ended December 31, 2023 was primarily related to net investments in short-term marketable securities.</w:t>
      </w:r>
    </w:p>
    <w:p>
      <w:pPr>
        <w:spacing w:after="0" w:line="1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year ended December 31, 2024, net cash provided by financing activities was $20.3 million, consisting primarily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borrowed on our Hercules Loan Agreement. During the year ended December 31, 2023, net cash provided by financing activities was $88.5 million, primarily due to $60.0 million of proceeds from the sale of our common stock and pre-funded warrants, borrowing net of repayments and issuance costs of $19.8 million on our Hercules Loan Agreement, and $8.7 million of proceeds from warrant exercises.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Capital Requirements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of the consolidated financial statements and in “Sources of Liquidity” above for a description of our debt obligation.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2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long-term lease obligations for office and laboratory space. Non-cancellable lease obligations are $1.4 million in 2025, $1.3 million in 2026, and $0.3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2" w:name="page73"/>
    <w:bookmarkEnd w:id="72"/>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8" w:lineRule="exact"/>
        <w:rPr>
          <w:sz w:val="20"/>
          <w:szCs w:val="20"/>
          <w:color w:val="auto"/>
        </w:rPr>
      </w:pPr>
    </w:p>
    <w:p>
      <w:pPr>
        <w:ind w:right="2200"/>
        <w:spacing w:after="0" w:line="247" w:lineRule="auto"/>
        <w:rPr>
          <w:sz w:val="20"/>
          <w:szCs w:val="20"/>
          <w:color w:val="auto"/>
        </w:rPr>
      </w:pPr>
      <w:r>
        <w:rPr>
          <w:rFonts w:ascii="Times New Roman" w:cs="Times New Roman" w:eastAsia="Times New Roman" w:hAnsi="Times New Roman"/>
          <w:sz w:val="18"/>
          <w:szCs w:val="18"/>
          <w:color w:val="auto"/>
        </w:rPr>
        <w:t>Based on our cash, cash equivalents and marketable securities on hand as of December 31, 2024 and our current operating plan, we believe that our cash, cash equivalents and marketable securities will not allow us to fund operations for at least the next 12 months. In order to fund operations and satisfy the Minimum Cash Covenant in the Hercules Loan Agreement, we will be required to raise additional capital, which may be through a combination of equity offerings, debt financings, other third-party funding, marketing and distribution arrangements, or collaborations and strategic alliances.</w:t>
      </w:r>
    </w:p>
    <w:p>
      <w:pPr>
        <w:spacing w:after="0" w:line="214" w:lineRule="exact"/>
        <w:rPr>
          <w:sz w:val="20"/>
          <w:szCs w:val="20"/>
          <w:color w:val="auto"/>
        </w:rPr>
      </w:pPr>
    </w:p>
    <w:p>
      <w:pPr>
        <w:jc w:val="both"/>
        <w:ind w:right="200"/>
        <w:spacing w:after="0" w:line="253" w:lineRule="auto"/>
        <w:rPr>
          <w:sz w:val="20"/>
          <w:szCs w:val="20"/>
          <w:color w:val="auto"/>
        </w:rPr>
      </w:pPr>
      <w:r>
        <w:rPr>
          <w:rFonts w:ascii="Times New Roman" w:cs="Times New Roman" w:eastAsia="Times New Roman" w:hAnsi="Times New Roman"/>
          <w:sz w:val="18"/>
          <w:szCs w:val="18"/>
          <w:color w:val="auto"/>
        </w:rPr>
        <w:t>During 2025, assuming no changes to our current operational expectations, which include the impact of the strategic restructuring we announced in the first quarter of 2025, we expect our operating expenses to be lower than the operating expenses, excluding the sale of non-financial assets, we generated in 2024. However, because of the numerous risks and uncertainties</w:t>
      </w:r>
    </w:p>
    <w:p>
      <w:pPr>
        <w:spacing w:after="0" w:line="1" w:lineRule="exact"/>
        <w:rPr>
          <w:sz w:val="20"/>
          <w:szCs w:val="20"/>
          <w:color w:val="auto"/>
        </w:rPr>
      </w:pPr>
    </w:p>
    <w:p>
      <w:pPr>
        <w:ind w:right="2440"/>
        <w:spacing w:after="0" w:line="245" w:lineRule="auto"/>
        <w:rPr>
          <w:sz w:val="20"/>
          <w:szCs w:val="20"/>
          <w:color w:val="auto"/>
        </w:rPr>
      </w:pPr>
      <w:r>
        <w:rPr>
          <w:rFonts w:ascii="Times New Roman" w:cs="Times New Roman" w:eastAsia="Times New Roman" w:hAnsi="Times New Roman"/>
          <w:sz w:val="18"/>
          <w:szCs w:val="18"/>
          <w:color w:val="auto"/>
        </w:rPr>
        <w:t>associated with the future sale of our approved drug product and the research, development, and commercialization of future product candidates, we are unable to estimate the exact amount of our funding requirements. Our short-term and long-term funding requirements will depend on and could increase significantly as a result of many factors, including:</w:t>
      </w:r>
    </w:p>
    <w:p>
      <w:pPr>
        <w:spacing w:after="0" w:line="2" w:lineRule="exact"/>
        <w:rPr>
          <w:sz w:val="20"/>
          <w:szCs w:val="20"/>
          <w:color w:val="auto"/>
        </w:rPr>
      </w:pPr>
    </w:p>
    <w:p>
      <w:pPr>
        <w:ind w:left="640" w:right="240" w:hanging="316"/>
        <w:spacing w:after="0" w:line="245"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number, initiation, progress, timing, costs, design, duration, any potential delays, and results of clinical trials and nonclinical studies for our current or future product candidates, particularly our Phase 3 clinical trial of mavorixafor for the treatment of individuals with chronic neutropenic disorders;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reviews, approvals or other actions to meet regulatory requirements established by the FDA and comparable foreign regulatory authorities, including the potential for the FDA or comparable foreign regulatory authorities to require that we perform more studies for our product candidates than those that we currently expect;</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w:t>
      </w:r>
    </w:p>
    <w:p>
      <w:pPr>
        <w:spacing w:after="0" w:line="5" w:lineRule="exact"/>
        <w:rPr>
          <w:rFonts w:ascii="Times New Roman" w:cs="Times New Roman" w:eastAsia="Times New Roman" w:hAnsi="Times New Roman"/>
          <w:sz w:val="18"/>
          <w:szCs w:val="18"/>
          <w:color w:val="auto"/>
        </w:rPr>
      </w:pPr>
    </w:p>
    <w:p>
      <w:pPr>
        <w:ind w:left="640" w:right="20" w:hanging="316"/>
        <w:spacing w:after="0" w:line="245"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 covering our product and product candidates, including any such patent claims and intellectual property rights that we have licensed from Genzyme pursuant to the terms of our license agreement with Genzyme;</w:t>
      </w:r>
    </w:p>
    <w:p>
      <w:pPr>
        <w:spacing w:after="0" w:line="2" w:lineRule="exact"/>
        <w:rPr>
          <w:rFonts w:ascii="Times New Roman" w:cs="Times New Roman" w:eastAsia="Times New Roman" w:hAnsi="Times New Roman"/>
          <w:sz w:val="18"/>
          <w:szCs w:val="18"/>
          <w:color w:val="auto"/>
        </w:rPr>
      </w:pPr>
    </w:p>
    <w:p>
      <w:pPr>
        <w:ind w:left="640" w:right="540" w:hanging="316"/>
        <w:spacing w:after="0" w:line="245"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cost of defending intellectual property disputes, including patent infringement actions brought by third parties against us or our product or product candidates;</w:t>
      </w:r>
    </w:p>
    <w:p>
      <w:pPr>
        <w:spacing w:after="0" w:line="1" w:lineRule="exact"/>
        <w:rPr>
          <w:rFonts w:ascii="Times New Roman" w:cs="Times New Roman" w:eastAsia="Times New Roman" w:hAnsi="Times New Roman"/>
          <w:sz w:val="18"/>
          <w:szCs w:val="18"/>
          <w:color w:val="auto"/>
        </w:rPr>
      </w:pPr>
    </w:p>
    <w:p>
      <w:pPr>
        <w:ind w:left="640" w:right="320" w:hanging="316"/>
        <w:spacing w:after="0" w:line="245" w:lineRule="auto"/>
        <w:tabs>
          <w:tab w:leader="none" w:pos="6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other business, product or technology that we acquire or in which we invest;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w:t>
      </w:r>
    </w:p>
    <w:p>
      <w:pPr>
        <w:spacing w:after="0" w:line="22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We have effective universal shelf registration statements on Form S-3 registering the sale of our common stock, warrants to purchase our common stock and other securities on terms that we may determine. We have an ATM Sales Agreement with the Sales Agents, pursuant to which we have offered to sell and continue to offer to sell, at our sole discretion through one or more of the Sales Agents, shares of our common stock. We entered into a common stock purchase agreement with Lincoln Park Capital, pursuant to which Lincoln Park Capital has committed to purchase, at our request from time to time over a 36-month period, shares of our common stock having an aggregate offering price of up to $50.0 million, of which $3.0 million have been sold to date, subject to certain limitations.</w:t>
      </w:r>
    </w:p>
    <w:p>
      <w:pPr>
        <w:spacing w:after="0" w:line="1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To the extent that we raise additional capital through future equity offerings or debt financings, the ownership interest of our stockholders may be materially diluted, and the terms of such securities could include liquidation or other preferences that adversely affect the rights of our stockholders. Debt financing and preferred equity financing, if available, may involve agreements that include restrictive covenants that limit our ability to take specified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efforts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17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Accrued Research and Development Expenses. </w:t>
      </w:r>
      <w:r>
        <w:rPr>
          <w:rFonts w:ascii="Times New Roman" w:cs="Times New Roman" w:eastAsia="Times New Roman" w:hAnsi="Times New Roman"/>
          <w:sz w:val="18"/>
          <w:szCs w:val="18"/>
          <w:color w:val="auto"/>
        </w:rPr>
        <w:t>As part of the process of preparing our consolidated financial statements, we are required to estimate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them at that time. For our significant vendors, we confirm the accuracy of these estimates with the service providers and make adjustments, if necessary. Examples of estimated accrued research and development expenses include fees paid to:</w:t>
      </w:r>
    </w:p>
    <w:p>
      <w:pPr>
        <w:spacing w:after="0" w:line="81" w:lineRule="exact"/>
        <w:rPr>
          <w:sz w:val="20"/>
          <w:szCs w:val="20"/>
          <w:color w:val="auto"/>
        </w:rPr>
      </w:pPr>
    </w:p>
    <w:p>
      <w:pPr>
        <w:ind w:left="1600" w:hanging="322"/>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1" w:lineRule="exact"/>
        <w:rPr>
          <w:rFonts w:ascii="Times New Roman" w:cs="Times New Roman" w:eastAsia="Times New Roman" w:hAnsi="Times New Roman"/>
          <w:sz w:val="18"/>
          <w:szCs w:val="18"/>
          <w:color w:val="auto"/>
        </w:rPr>
      </w:pPr>
    </w:p>
    <w:p>
      <w:pPr>
        <w:ind w:left="1600" w:hanging="322"/>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the production of preclinical and clinical trial materials.</w:t>
      </w:r>
    </w:p>
    <w:p>
      <w:pPr>
        <w:spacing w:after="0" w:line="21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base the expense recorded related to external research and development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w:t>
      </w:r>
    </w:p>
    <w:p>
      <w:pPr>
        <w:spacing w:after="0" w:line="187"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7"/>
          <w:szCs w:val="17"/>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5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Stock-Based Compensation. </w:t>
      </w:r>
      <w:r>
        <w:rPr>
          <w:rFonts w:ascii="Times New Roman" w:cs="Times New Roman" w:eastAsia="Times New Roman" w:hAnsi="Times New Roman"/>
          <w:sz w:val="17"/>
          <w:szCs w:val="17"/>
          <w:color w:val="auto"/>
        </w:rPr>
        <w:t>We measure all stock-based awards granted to employees, directors and consultants based on the grant-date fair value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and recognized compensation expense, net of estimated forfeitures, over the requisite service period, which is generally the vesting period of the respective award. The stock-based awards that we have issued to date include a service-based vesting condition and the expense for these awards is recognized using the straight-line method. We have also issued stock-based awards with performance-based vesting conditions that vest in part upon our achievement of operational milestones and over time thereafter for the subsequent two years as the employee continues to provide services. We assess the probability of achievement of these operational milestones and recognize stock-based compensation for these awards using the accelerated attribution model based on the fair value of the awards as of the date of grant and our best estimate of the date each operational milestone will be achieved. We update our estimates related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probability and timing of achievement of the operational milestones each period until the award either vests or is forfeited</w:t>
      </w:r>
      <w:r>
        <w:rPr>
          <w:rFonts w:ascii="Arial" w:cs="Arial" w:eastAsia="Arial" w:hAnsi="Arial"/>
          <w:sz w:val="21"/>
          <w:szCs w:val="21"/>
          <w:color w:val="auto"/>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6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fair value of stock option grants is estimated on the date of grant using the Black-Scholes option-pricing model, which uses as inputs the fair value of our common stock and assumptions we make for the volatility of our common stock, the expected term of the stock options, the risk-free interest rate for a period that approximates the expected term of our stock options and an expected dividend yield. Prior to the closing of the Merger and the listing of our common stock on the Nasdaq Capital Market, our board of directors historically determined, as of the date of each option grant and with input from our management, the assistance of a third-party valuation specialist the estimated fair value of our common stock on the date of grant based on a number of objectives and subjective factors. Since the Merger and the listing of our common stock on the Nasdaq Capital Market, we have relied on the market price of our common stock to determine the fair value on the date of grant. As our common stock does not have a sufficient history of trading, we estimate our volatility based on the historical volatility of publicly traded peer companies. We estimate the expected term of our stock awards by utilizing the “simplified” method, which calculates the expected term based on weighted average midpoint of the award’s vesting and expiration dates. We determine the risk-free interest rate by reference to the U.S. Treasury yield curve in effect at the time of grant of the award for time periods approximately equal to the expected term of the award. We estimate that no dividends will be paid as we do not expect to pay cash dividends in the foreseeable future.</w:t>
      </w:r>
    </w:p>
    <w:p>
      <w:pPr>
        <w:spacing w:after="0" w:line="19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assumptions underlying these valuations represent the best estimates of our management, which involve inherent uncertainties and the application of our judgment. As a result, if factors or expected outcomes change and we use significantly different assumptions or estimates, the resulting share-based compensation expense could be materially different.</w:t>
      </w:r>
    </w:p>
    <w:p>
      <w:pPr>
        <w:spacing w:after="0" w:line="21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w:t>
      </w:r>
      <w:r>
        <w:rPr>
          <w:rFonts w:ascii="Times New Roman" w:cs="Times New Roman" w:eastAsia="Times New Roman" w:hAnsi="Times New Roman"/>
          <w:sz w:val="17"/>
          <w:szCs w:val="17"/>
          <w:color w:val="auto"/>
        </w:rPr>
        <w:t>Business combinations are accounted for under the acquisition method. The total purchase price of an acquisition is allocated to the underlying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identifiable net assets, based on their respective estimated fair values as of the acquisition date. Determining the fair value of assets acquired and liabilities assumed requires management’s judgment and often involves the use of significant estimates and assumptions, including assumptions with respect to future cash inflows and outflows, probabilities of success, discount rates, and asset lives, among other items. Assets acquired and liabilities assumed are recorded at their estimated fair values. The excess of the purchase price over the estimated fair values of the net assets acquired is recorded as goodwill.</w:t>
      </w:r>
    </w:p>
    <w:p>
      <w:pPr>
        <w:spacing w:after="0" w:line="19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Goodwill is tested quantitatively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determined that we operate in a single operating segment and have a single reporting unit. To perform its quantitative test, we compare the fair value of our single reporting unit to the carrying value of its net assets, including goodwill. We use our market capitalization (common shares outstanding multiplied by the price per share of our common stock) to measure the fair value of the reporting unit. If the fair value of the reporting unit exceeds the carrying value of its net assets, goodwill is not impaired, and no further testing is required. If the fair value of the reporting unit is less than the carrying value, we measure the impairment loss as the excess of the carrying value over the fair value of the reporting unit. See Note 5 for more information on our goodwill impairment test as of December 31, 2024.</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Net. </w:t>
      </w:r>
      <w:r>
        <w:rPr>
          <w:rFonts w:ascii="Times New Roman" w:cs="Times New Roman" w:eastAsia="Times New Roman" w:hAnsi="Times New Roman"/>
          <w:sz w:val="18"/>
          <w:szCs w:val="18"/>
          <w:color w:val="auto"/>
        </w:rPr>
        <w:t>Definite-lived intangible assets related to capitalized milestones under license agreements are amortized on a straight-line basis,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aligns with the pattern over which the economic benefit of the intangible assets are consumed, over their remaining useful lives, which are estimated to be the remaining patent life. If our estimate of the product’s useful life is shorter than the remaining patent life, then a shorter period is used. Amortization expense is recorded as a component of cost of revenue on the consolidated statements of operations and comprehensive loss.</w:t>
      </w:r>
    </w:p>
    <w:p>
      <w:pPr>
        <w:spacing w:after="0" w:line="20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We recognize revenue when our customers obtain control of the promised good, such as our drug product or licensed intellectual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property rights, in an amount that reflects the consideration that we expect to receive in exchange for those goods. We performs the following five steps to determine the amount of revenue to recognize: (1) identify the customer and contract with the customer; (2) identify the performance obligations in the contract; (3) determine the transaction price, adjusted for variable consideration resulting from potential returns, rebates, discounts, and down-stream charges;</w:t>
      </w:r>
    </w:p>
    <w:p>
      <w:pPr>
        <w:spacing w:after="0" w:line="1" w:lineRule="exact"/>
        <w:rPr>
          <w:sz w:val="20"/>
          <w:szCs w:val="20"/>
          <w:color w:val="auto"/>
        </w:rPr>
      </w:pPr>
    </w:p>
    <w:p>
      <w:pPr>
        <w:ind w:right="360" w:firstLine="6"/>
        <w:spacing w:after="0" w:line="251" w:lineRule="auto"/>
        <w:tabs>
          <w:tab w:leader="none" w:pos="2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(5) recognize revenue when we satisfies the performance obligations, which is upon shipment of our drug product to the customer or delivery of licensed rights to the customer.</w:t>
      </w:r>
    </w:p>
    <w:p>
      <w:pPr>
        <w:spacing w:after="0" w:line="210"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As part of the accounting for contracts with our customers, we make significant judgments, primarily related to the estimation of the amount of variable consideration to include in the transaction price upon delivery of our drug product or licensed rights. The variable consideration includes estimates for discounts, product returns, rebates that will be due to U.S. federal and state payors, such as Medicaid, based on agreements that we have with these payors who provide medical insurance to the end patient, and</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5" w:name="page76"/>
    <w:bookmarkEnd w:id="75"/>
    <w:p>
      <w:pPr>
        <w:ind w:right="40"/>
        <w:spacing w:after="0" w:line="248" w:lineRule="auto"/>
        <w:rPr>
          <w:sz w:val="20"/>
          <w:szCs w:val="20"/>
          <w:color w:val="auto"/>
        </w:rPr>
      </w:pPr>
      <w:r>
        <w:rPr>
          <w:rFonts w:ascii="Times New Roman" w:cs="Times New Roman" w:eastAsia="Times New Roman" w:hAnsi="Times New Roman"/>
          <w:sz w:val="18"/>
          <w:szCs w:val="18"/>
          <w:color w:val="auto"/>
        </w:rPr>
        <w:t>estimated co-pay assistance payments for patients who enroll in our patient assistance program. These variable payments are considered a reduction of the transaction price and must be estimated at the time our product is delivered to the customer. For our license arrangements, we will receive milestone payments based on our achievement of defined operational events or cumulative sales levels achieved. When we conclude that the achievement of such milestones is probable, we include the value of the milestone in the transaction price using the most likely amount method. For product sales, we determine the amount of variable consideration to include in the transaction price by using the expected value method. Net revenue recognized for each period is the amount for which, based on our estimate, it is probable that a significant reversal of cumulative revenue recognized will not occur. At the end of each subsequent reporting period, we re-evaluate these estimates based on new information and actual operational trends and if necessary, adjusts these variable consideration estimates. Any such adjustments are recorded on a cumulative catch-up basis in the period of the adjustment.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9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3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3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w:t>
      </w:r>
    </w:p>
    <w:p>
      <w:pPr>
        <w:spacing w:after="0" w:line="11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financial statements contain a Report of Independent Registered Public Accounting Firm PricewaterhouseCoopers LLP, Boston, Massachusetts, US (Firm ID 238).</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index of those financial statements is found in Item 15 of Part IV of this Annual Report.</w:t>
      </w:r>
    </w:p>
    <w:p>
      <w:pPr>
        <w:spacing w:after="0" w:line="321" w:lineRule="exact"/>
        <w:rPr>
          <w:sz w:val="20"/>
          <w:szCs w:val="20"/>
          <w:color w:val="auto"/>
        </w:rPr>
      </w:pPr>
    </w:p>
    <w:p>
      <w:pPr>
        <w:ind w:right="940"/>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16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we file and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6" w:name="page77"/>
    <w:bookmarkEnd w:id="76"/>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who serve as our principal executive officer and principal financial officer, respectively, has evaluated the effectiveness of our disclosure controls and procedures as of December 31, 2024. Based on such evaluation, our Chief Executive Officer and Chief Financial Officer have concluded that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960" w:right="220" w:hanging="31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7"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1" w:lineRule="exact"/>
        <w:rPr>
          <w:rFonts w:ascii="Times New Roman" w:cs="Times New Roman" w:eastAsia="Times New Roman" w:hAnsi="Times New Roman"/>
          <w:sz w:val="18"/>
          <w:szCs w:val="18"/>
          <w:color w:val="auto"/>
        </w:rPr>
      </w:pPr>
    </w:p>
    <w:p>
      <w:pPr>
        <w:ind w:left="960" w:right="240" w:hanging="31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Management conducted an assessment of our internal controls over financial reporting based on the framework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These criteria are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Based on the assessment, management concluded that, as of December 31, 2024, our internal control over financial reporting was effective.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due to an exemption established by the JOBS Act for non-accelerated filers.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There have been no significant changes in our internal control over financial reporting (as defined in Rules 13a-15(f) and 15d-15(f) under the Exchange Act) during the quarter ended December 31, 2024 that has materially affected, or is reasonably likely to materially affect, our internal control over financial reporting.</w:t>
      </w:r>
    </w:p>
    <w:p>
      <w:pPr>
        <w:spacing w:after="0" w:line="29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9B(b). Rule 10b5-1 Trading Plans</w:t>
      </w:r>
    </w:p>
    <w:p>
      <w:pPr>
        <w:spacing w:after="0" w:line="23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adopted, materially modified, or terminated any contract, instruction, or written plan for the purchase or sale of Company securities that was intended to satisfy the affirmative defense conditions of Rule 10b5-1(c) or any non-Rule 10b5-1 trading arrangement.</w:t>
      </w:r>
    </w:p>
    <w:p>
      <w:pPr>
        <w:spacing w:after="0" w:line="3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77" w:name="page78"/>
    <w:bookmarkEnd w:id="77"/>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1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“Proposal 1- Election of Directors,” “Information Regarding the Board of Directors and Corporate Governance” and “Executive Officers” in our 2025 Proxy Statement, which we intend to file with the SEC within 120 days of the end of our fiscal year pursuant to General Instruction G(3) of Form 10-K, and is incorporated herein by reference (excluding pay versus performance disclosure).</w:t>
      </w:r>
    </w:p>
    <w:p>
      <w:pPr>
        <w:spacing w:after="0" w:line="2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Information regarding our Code of Business Conduct and Ethics (the “Code of Conduct”) required by this item will be contained in our 2025 Proxy Statement under the caption “Information Regarding the Board of Directors and Corporate Governance – Code of Ethics,” and is hereby incorporated by reference. If we make any substantive amendments to the Code of Conduct or grant any waiver from a provision of the Code of Conduct to any executive officer or director, we will promptly disclose the nature of the amendment or waiver on our website. The full text of our Code of Conduct is available at the compliance and ethics section of our website at https://investors.x4pharma.com/corporate-governance/governance-overview. The reference to our website address does not constitute incorporation by reference of the information contained at or available through our website, and you should not consider it to be a part of this Annual Report on Form 10-K.</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Select Market, by filing a Current Report on Form 8-K with the SEC, disclosing such information.</w:t>
      </w:r>
    </w:p>
    <w:p>
      <w:pPr>
        <w:spacing w:after="0" w:line="200" w:lineRule="exact"/>
        <w:rPr>
          <w:sz w:val="20"/>
          <w:szCs w:val="20"/>
          <w:color w:val="auto"/>
        </w:rPr>
      </w:pPr>
    </w:p>
    <w:p>
      <w:pPr>
        <w:spacing w:after="0" w:line="3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13"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“Executive Compensation” in our 2025 Proxy Statement.</w:t>
      </w:r>
    </w:p>
    <w:p>
      <w:pPr>
        <w:spacing w:after="0" w:line="267" w:lineRule="exact"/>
        <w:rPr>
          <w:sz w:val="20"/>
          <w:szCs w:val="20"/>
          <w:color w:val="auto"/>
        </w:rPr>
      </w:pPr>
    </w:p>
    <w:p>
      <w:pPr>
        <w:ind w:left="960" w:right="580" w:hanging="1271"/>
        <w:spacing w:after="0" w:line="27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“Security Ownership of Certain Beneficial Owners and Management” and “Equity Compensation Plan Information” in our 2025 Proxy Statement.</w:t>
      </w:r>
    </w:p>
    <w:p>
      <w:pPr>
        <w:spacing w:after="0" w:line="2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13"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“Transactions with Related Persons and Indemnification” and “Information regarding the Board of Directors and Corporate Governance” in our 2025 Proxy Statement.</w:t>
      </w:r>
    </w:p>
    <w:p>
      <w:pPr>
        <w:spacing w:after="0" w:line="2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1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“Principal Accountant Fees and Services” contained in our 2025 Proxy Statement.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23"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F-39 attached hereto and are filed as part of this Annual Report.</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460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2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8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20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(Firm ID 238)</w:t>
            </w: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10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PricewaterhouseCoopers LLP</w:t>
            </w: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Boston, MA</w:t>
            </w:r>
          </w:p>
        </w:tc>
        <w:tc>
          <w:tcPr>
            <w:tcW w:w="4780" w:type="dxa"/>
            <w:vAlign w:val="bottom"/>
            <w:gridSpan w:val="2"/>
            <w:vMerge w:val="continue"/>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Consolidated Balance Sheets</w:t>
            </w:r>
          </w:p>
        </w:tc>
        <w:tc>
          <w:tcPr>
            <w:tcW w:w="104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32"/>
        </w:trPr>
        <w:tc>
          <w:tcPr>
            <w:tcW w:w="4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Operations and Comprehensive Loss</w:t>
            </w:r>
          </w:p>
        </w:tc>
        <w:tc>
          <w:tcPr>
            <w:tcW w:w="1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32"/>
        </w:trPr>
        <w:tc>
          <w:tcPr>
            <w:tcW w:w="9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Common Stock and Stockholders’ Equity</w:t>
            </w: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32"/>
        </w:trPr>
        <w:tc>
          <w:tcPr>
            <w:tcW w:w="2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28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1240" w:type="dxa"/>
            <w:vAlign w:val="bottom"/>
            <w:tcBorders>
              <w:top w:val="single" w:sz="8" w:color="0000FF"/>
            </w:tcBorders>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32"/>
        </w:trPr>
        <w:tc>
          <w:tcPr>
            <w:tcW w:w="3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13"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gridSpan w:val="16"/>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 File/ Ref No.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00" w:type="dxa"/>
            <w:vAlign w:val="bottom"/>
            <w:gridSpan w:val="23"/>
          </w:tcPr>
          <w:p>
            <w:pPr>
              <w:spacing w:after="0" w:line="17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Restated Certificate of Incorporation, as amended, as of September 1, 2022</w:t>
              </w:r>
            </w:hyperlink>
          </w:p>
        </w:tc>
        <w:tc>
          <w:tcPr>
            <w:tcW w:w="7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6"/>
              </w:rPr>
              <w:t>9/1/2022</w:t>
            </w:r>
          </w:p>
        </w:tc>
        <w:tc>
          <w:tcPr>
            <w:tcW w:w="100" w:type="dxa"/>
            <w:vAlign w:val="bottom"/>
          </w:tcPr>
          <w:p>
            <w:pPr>
              <w:spacing w:after="0"/>
              <w:rPr>
                <w:sz w:val="14"/>
                <w:szCs w:val="14"/>
                <w:color w:val="auto"/>
              </w:rPr>
            </w:pPr>
          </w:p>
        </w:tc>
        <w:tc>
          <w:tcPr>
            <w:tcW w:w="13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top w:val="single" w:sz="8" w:color="0000FF"/>
            </w:tcBorders>
            <w:gridSpan w:val="15"/>
          </w:tcPr>
          <w:p>
            <w:pPr>
              <w:spacing w:after="0" w:line="205"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By-laws of the Company</w:t>
              </w:r>
            </w:hyperlink>
          </w:p>
        </w:tc>
        <w:tc>
          <w:tcPr>
            <w:tcW w:w="800" w:type="dxa"/>
            <w:vAlign w:val="bottom"/>
            <w:gridSpan w:val="8"/>
          </w:tcPr>
          <w:p>
            <w:pPr>
              <w:spacing w:after="0"/>
              <w:rPr>
                <w:sz w:val="17"/>
                <w:szCs w:val="17"/>
                <w:color w:val="auto"/>
              </w:rPr>
            </w:pPr>
          </w:p>
        </w:tc>
        <w:tc>
          <w:tcPr>
            <w:tcW w:w="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11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11/20/2017</w:t>
            </w:r>
          </w:p>
        </w:tc>
        <w:tc>
          <w:tcPr>
            <w:tcW w:w="100" w:type="dxa"/>
            <w:vAlign w:val="bottom"/>
          </w:tcPr>
          <w:p>
            <w:pPr>
              <w:spacing w:after="0"/>
              <w:rPr>
                <w:sz w:val="17"/>
                <w:szCs w:val="17"/>
                <w:color w:val="auto"/>
              </w:rPr>
            </w:pPr>
          </w:p>
        </w:tc>
        <w:tc>
          <w:tcPr>
            <w:tcW w:w="13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FF"/>
            </w:tcBorders>
            <w:gridSpan w:val="12"/>
          </w:tcPr>
          <w:p>
            <w:pPr>
              <w:spacing w:after="0" w:line="192"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Common Stock Certificate</w:t>
              </w:r>
            </w:hyperlink>
          </w:p>
        </w:tc>
        <w:tc>
          <w:tcPr>
            <w:tcW w:w="2660" w:type="dxa"/>
            <w:vAlign w:val="bottom"/>
            <w:gridSpan w:val="11"/>
          </w:tcPr>
          <w:p>
            <w:pPr>
              <w:spacing w:after="0"/>
              <w:rPr>
                <w:sz w:val="17"/>
                <w:szCs w:val="17"/>
                <w:color w:val="auto"/>
              </w:rPr>
            </w:pPr>
          </w:p>
        </w:tc>
        <w:tc>
          <w:tcPr>
            <w:tcW w:w="7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3/13/2019</w:t>
            </w:r>
          </w:p>
        </w:tc>
        <w:tc>
          <w:tcPr>
            <w:tcW w:w="100" w:type="dxa"/>
            <w:vAlign w:val="bottom"/>
          </w:tcPr>
          <w:p>
            <w:pPr>
              <w:spacing w:after="0"/>
              <w:rPr>
                <w:sz w:val="17"/>
                <w:szCs w:val="17"/>
                <w:color w:val="auto"/>
              </w:rPr>
            </w:pPr>
          </w:p>
        </w:tc>
        <w:tc>
          <w:tcPr>
            <w:tcW w:w="13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3"/>
          </w:tcPr>
          <w:p>
            <w:pPr>
              <w:spacing w:after="0" w:line="205"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Warrant to Purchase Common Stock of the Company (formerly Series A</w:t>
              </w:r>
            </w:hyperlink>
          </w:p>
        </w:tc>
        <w:tc>
          <w:tcPr>
            <w:tcW w:w="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4.2</w:t>
            </w:r>
          </w:p>
        </w:tc>
        <w:tc>
          <w:tcPr>
            <w:tcW w:w="11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3/13/2019</w:t>
            </w:r>
          </w:p>
        </w:tc>
        <w:tc>
          <w:tcPr>
            <w:tcW w:w="100" w:type="dxa"/>
            <w:vAlign w:val="bottom"/>
          </w:tcPr>
          <w:p>
            <w:pPr>
              <w:spacing w:after="0"/>
              <w:rPr>
                <w:sz w:val="17"/>
                <w:szCs w:val="17"/>
                <w:color w:val="auto"/>
              </w:rPr>
            </w:pPr>
          </w:p>
        </w:tc>
        <w:tc>
          <w:tcPr>
            <w:tcW w:w="13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40" w:type="dxa"/>
            <w:vAlign w:val="bottom"/>
            <w:tcBorders>
              <w:top w:val="single" w:sz="8" w:color="0000FF"/>
            </w:tcBorders>
            <w:gridSpan w:val="19"/>
          </w:tcPr>
          <w:p>
            <w:pPr>
              <w:spacing w:after="0" w:line="126"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Preferred Stock of X4 Therapeutics, Inc. (formerly X4 Pharmaceuticals, Inc.))</w:t>
              </w:r>
            </w:hyperlink>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issued to Silicon Valley Bank and Life Science Loans, LLC.</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3/13/2019</w:t>
            </w:r>
          </w:p>
        </w:tc>
        <w:tc>
          <w:tcPr>
            <w:tcW w:w="10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14"/>
          </w:tcPr>
          <w:p>
            <w:pPr>
              <w:spacing w:after="0" w:line="179" w:lineRule="exact"/>
              <w:rPr>
                <w:rFonts w:ascii="Times New Roman" w:cs="Times New Roman" w:eastAsia="Times New Roman" w:hAnsi="Times New Roman"/>
                <w:sz w:val="18"/>
                <w:szCs w:val="18"/>
                <w:color w:val="0000FF"/>
                <w:w w:val="94"/>
              </w:rPr>
            </w:pPr>
            <w:hyperlink r:id="rId109">
              <w:r>
                <w:rPr>
                  <w:rFonts w:ascii="Times New Roman" w:cs="Times New Roman" w:eastAsia="Times New Roman" w:hAnsi="Times New Roman"/>
                  <w:sz w:val="18"/>
                  <w:szCs w:val="18"/>
                  <w:color w:val="0000FF"/>
                  <w:w w:val="94"/>
                </w:rPr>
                <w:t>Form of Warrant to Purchase Common Stock of the Company</w:t>
              </w:r>
            </w:hyperlink>
          </w:p>
        </w:tc>
        <w:tc>
          <w:tcPr>
            <w:tcW w:w="1860" w:type="dxa"/>
            <w:vAlign w:val="bottom"/>
            <w:gridSpan w:val="9"/>
          </w:tcPr>
          <w:p>
            <w:pPr>
              <w:ind w:left="180"/>
              <w:spacing w:after="0" w:line="17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(formerly Series A</w:t>
              </w:r>
            </w:hyperlink>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40" w:type="dxa"/>
            <w:vAlign w:val="bottom"/>
            <w:tcBorders>
              <w:top w:val="single" w:sz="8" w:color="0000FF"/>
            </w:tcBorders>
            <w:gridSpan w:val="19"/>
          </w:tcPr>
          <w:p>
            <w:pPr>
              <w:spacing w:after="0" w:line="126"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Preferred Stock of X4 Therapeutics, Inc. (formerly X4 Pharmaceuticals, Inc.))</w:t>
              </w:r>
            </w:hyperlink>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issued to Maxim Partners LLC.</w:t>
              </w:r>
            </w:hyperlink>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3/13/2019</w:t>
            </w:r>
          </w:p>
        </w:tc>
        <w:tc>
          <w:tcPr>
            <w:tcW w:w="10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top w:val="single" w:sz="8" w:color="0000FF"/>
            </w:tcBorders>
            <w:gridSpan w:val="6"/>
          </w:tcPr>
          <w:p>
            <w:pPr>
              <w:spacing w:after="0" w:line="17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Warrant to Purchase</w:t>
              </w:r>
            </w:hyperlink>
          </w:p>
        </w:tc>
        <w:tc>
          <w:tcPr>
            <w:tcW w:w="3880" w:type="dxa"/>
            <w:vAlign w:val="bottom"/>
            <w:gridSpan w:val="17"/>
          </w:tcPr>
          <w:p>
            <w:pPr>
              <w:jc w:val="center"/>
              <w:ind w:right="380"/>
              <w:spacing w:after="0" w:line="179" w:lineRule="exact"/>
              <w:rPr>
                <w:rFonts w:ascii="Times New Roman" w:cs="Times New Roman" w:eastAsia="Times New Roman" w:hAnsi="Times New Roman"/>
                <w:sz w:val="18"/>
                <w:szCs w:val="18"/>
                <w:color w:val="0000FF"/>
                <w:w w:val="94"/>
              </w:rPr>
            </w:pPr>
            <w:hyperlink r:id="rId110">
              <w:r>
                <w:rPr>
                  <w:rFonts w:ascii="Times New Roman" w:cs="Times New Roman" w:eastAsia="Times New Roman" w:hAnsi="Times New Roman"/>
                  <w:sz w:val="18"/>
                  <w:szCs w:val="18"/>
                  <w:color w:val="0000FF"/>
                  <w:w w:val="94"/>
                </w:rPr>
                <w:t>Common Stock of the Company (formerly Series B</w:t>
              </w:r>
            </w:hyperlink>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720" w:type="dxa"/>
            <w:vAlign w:val="bottom"/>
            <w:tcBorders>
              <w:top w:val="single" w:sz="8" w:color="0000FF"/>
            </w:tcBorders>
            <w:gridSpan w:val="18"/>
          </w:tcPr>
          <w:p>
            <w:pPr>
              <w:spacing w:after="0" w:line="126"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Preferred Stock of X4 Therapeutics, Inc. (formerly X4 Pharmaceuticals, Inc.))</w:t>
              </w:r>
            </w:hyperlink>
          </w:p>
        </w:tc>
        <w:tc>
          <w:tcPr>
            <w:tcW w:w="1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issued to Hercules Capital, Inc.</w:t>
              </w:r>
            </w:hyperlink>
          </w:p>
        </w:tc>
        <w:tc>
          <w:tcPr>
            <w:tcW w:w="18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3/13/2019</w:t>
            </w:r>
          </w:p>
        </w:tc>
        <w:tc>
          <w:tcPr>
            <w:tcW w:w="10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tcBorders>
              <w:top w:val="single" w:sz="8" w:color="0000FF"/>
            </w:tcBorders>
            <w:gridSpan w:val="5"/>
          </w:tcPr>
          <w:p>
            <w:pPr>
              <w:spacing w:after="0" w:line="179" w:lineRule="exact"/>
              <w:rPr>
                <w:rFonts w:ascii="Times New Roman" w:cs="Times New Roman" w:eastAsia="Times New Roman" w:hAnsi="Times New Roman"/>
                <w:sz w:val="18"/>
                <w:szCs w:val="18"/>
                <w:color w:val="0000FF"/>
                <w:w w:val="88"/>
              </w:rPr>
            </w:pPr>
            <w:hyperlink r:id="rId111">
              <w:r>
                <w:rPr>
                  <w:rFonts w:ascii="Times New Roman" w:cs="Times New Roman" w:eastAsia="Times New Roman" w:hAnsi="Times New Roman"/>
                  <w:sz w:val="18"/>
                  <w:szCs w:val="18"/>
                  <w:color w:val="0000FF"/>
                  <w:w w:val="88"/>
                </w:rPr>
                <w:t>Warrant Modification Agreement,</w:t>
              </w:r>
            </w:hyperlink>
          </w:p>
        </w:tc>
        <w:tc>
          <w:tcPr>
            <w:tcW w:w="3900" w:type="dxa"/>
            <w:vAlign w:val="bottom"/>
            <w:gridSpan w:val="18"/>
          </w:tcPr>
          <w:p>
            <w:pPr>
              <w:ind w:left="240"/>
              <w:spacing w:after="0" w:line="17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dated as of December 11, 2018, with Hercules</w:t>
              </w:r>
            </w:hyperlink>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0000FF"/>
              <w:bottom w:val="single" w:sz="8" w:color="0000FF"/>
            </w:tcBorders>
          </w:tcPr>
          <w:p>
            <w:pPr>
              <w:spacing w:after="0" w:line="126" w:lineRule="exact"/>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Capital, Inc.</w:t>
              </w:r>
            </w:hyperlink>
          </w:p>
        </w:tc>
        <w:tc>
          <w:tcPr>
            <w:tcW w:w="4840" w:type="dxa"/>
            <w:vAlign w:val="bottom"/>
            <w:tcBorders>
              <w:top w:val="single" w:sz="8" w:color="0000FF"/>
            </w:tcBorders>
            <w:gridSpan w:val="16"/>
          </w:tcPr>
          <w:p>
            <w:pPr>
              <w:spacing w:after="0"/>
              <w:rPr>
                <w:sz w:val="10"/>
                <w:szCs w:val="10"/>
                <w:color w:val="auto"/>
              </w:rPr>
            </w:pP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00" w:type="dxa"/>
            <w:vAlign w:val="bottom"/>
            <w:gridSpan w:val="23"/>
          </w:tcPr>
          <w:p>
            <w:pPr>
              <w:spacing w:after="0" w:line="17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April 2019 Prefunded Warrant.</w:t>
              </w:r>
            </w:hyperlink>
          </w:p>
        </w:tc>
        <w:tc>
          <w:tcPr>
            <w:tcW w:w="760" w:type="dxa"/>
            <w:vAlign w:val="bottom"/>
            <w:vMerge w:val="continue"/>
          </w:tcPr>
          <w:p>
            <w:pPr>
              <w:spacing w:after="0"/>
              <w:rPr>
                <w:sz w:val="15"/>
                <w:szCs w:val="15"/>
                <w:color w:val="auto"/>
              </w:rPr>
            </w:pPr>
          </w:p>
        </w:tc>
        <w:tc>
          <w:tcPr>
            <w:tcW w:w="76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9"/>
              </w:rPr>
              <w:t>04/12/2019</w:t>
            </w: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gridSpan w:val="23"/>
          </w:tcPr>
          <w:p>
            <w:pPr>
              <w:spacing w:after="0" w:line="19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November 2019 Prefunded Warrant</w:t>
              </w:r>
            </w:hyperlink>
          </w:p>
        </w:tc>
        <w:tc>
          <w:tcPr>
            <w:tcW w:w="7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11/29/2019</w:t>
            </w:r>
          </w:p>
        </w:tc>
        <w:tc>
          <w:tcPr>
            <w:tcW w:w="100" w:type="dxa"/>
            <w:vAlign w:val="bottom"/>
          </w:tcPr>
          <w:p>
            <w:pPr>
              <w:spacing w:after="0"/>
              <w:rPr>
                <w:sz w:val="17"/>
                <w:szCs w:val="17"/>
                <w:color w:val="auto"/>
              </w:rPr>
            </w:pPr>
          </w:p>
        </w:tc>
        <w:tc>
          <w:tcPr>
            <w:tcW w:w="13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tcBorders>
            <w:gridSpan w:val="11"/>
          </w:tcPr>
          <w:p>
            <w:pPr>
              <w:spacing w:after="0" w:line="192"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March 2021 Prefunded Warrant</w:t>
              </w:r>
            </w:hyperlink>
          </w:p>
        </w:tc>
        <w:tc>
          <w:tcPr>
            <w:tcW w:w="2980" w:type="dxa"/>
            <w:vAlign w:val="bottom"/>
            <w:gridSpan w:val="12"/>
          </w:tcPr>
          <w:p>
            <w:pPr>
              <w:spacing w:after="0"/>
              <w:rPr>
                <w:sz w:val="17"/>
                <w:szCs w:val="17"/>
                <w:color w:val="auto"/>
              </w:rPr>
            </w:pPr>
          </w:p>
        </w:tc>
        <w:tc>
          <w:tcPr>
            <w:tcW w:w="7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3/19/2019</w:t>
            </w:r>
          </w:p>
        </w:tc>
        <w:tc>
          <w:tcPr>
            <w:tcW w:w="100" w:type="dxa"/>
            <w:vAlign w:val="bottom"/>
          </w:tcPr>
          <w:p>
            <w:pPr>
              <w:spacing w:after="0"/>
              <w:rPr>
                <w:sz w:val="17"/>
                <w:szCs w:val="17"/>
                <w:color w:val="auto"/>
              </w:rPr>
            </w:pPr>
          </w:p>
        </w:tc>
        <w:tc>
          <w:tcPr>
            <w:tcW w:w="13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11/5/2021</w:t>
            </w:r>
          </w:p>
        </w:tc>
        <w:tc>
          <w:tcPr>
            <w:tcW w:w="1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00" w:type="dxa"/>
            <w:vAlign w:val="bottom"/>
            <w:gridSpan w:val="2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November 2021 Prefunded Warrant</w:t>
              </w:r>
            </w:hyperlink>
          </w:p>
        </w:tc>
        <w:tc>
          <w:tcPr>
            <w:tcW w:w="760" w:type="dxa"/>
            <w:vAlign w:val="bottom"/>
            <w:vMerge w:val="continue"/>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0" w:type="dxa"/>
            <w:vAlign w:val="bottom"/>
            <w:gridSpan w:val="2"/>
            <w:vMerge w:val="restart"/>
          </w:tcPr>
          <w:p>
            <w:pPr>
              <w:spacing w:after="0"/>
              <w:rPr>
                <w:rFonts w:ascii="Times New Roman" w:cs="Times New Roman" w:eastAsia="Times New Roman" w:hAnsi="Times New Roman"/>
                <w:sz w:val="18"/>
                <w:szCs w:val="18"/>
                <w:color w:val="0000FF"/>
                <w:w w:val="95"/>
              </w:rPr>
            </w:pPr>
            <w:hyperlink r:id="rId116">
              <w:r>
                <w:rPr>
                  <w:rFonts w:ascii="Times New Roman" w:cs="Times New Roman" w:eastAsia="Times New Roman" w:hAnsi="Times New Roman"/>
                  <w:sz w:val="18"/>
                  <w:szCs w:val="18"/>
                  <w:color w:val="0000FF"/>
                  <w:w w:val="95"/>
                </w:rPr>
                <w:t>Controlled Equity Offering</w:t>
              </w:r>
            </w:hyperlink>
          </w:p>
        </w:tc>
        <w:tc>
          <w:tcPr>
            <w:tcW w:w="200" w:type="dxa"/>
            <w:vAlign w:val="bottom"/>
            <w:tcBorders>
              <w:bottom w:val="single" w:sz="8" w:color="0000FF"/>
            </w:tcBorders>
            <w:gridSpan w:val="2"/>
          </w:tcPr>
          <w:p>
            <w:pPr>
              <w:spacing w:after="0" w:line="73" w:lineRule="exact"/>
              <w:rPr>
                <w:rFonts w:ascii="Times New Roman" w:cs="Times New Roman" w:eastAsia="Times New Roman" w:hAnsi="Times New Roman"/>
                <w:sz w:val="8"/>
                <w:szCs w:val="8"/>
                <w:color w:val="0000FF"/>
              </w:rPr>
            </w:pPr>
            <w:hyperlink r:id="rId116">
              <w:r>
                <w:rPr>
                  <w:rFonts w:ascii="Times New Roman" w:cs="Times New Roman" w:eastAsia="Times New Roman" w:hAnsi="Times New Roman"/>
                  <w:sz w:val="8"/>
                  <w:szCs w:val="8"/>
                  <w:color w:val="0000FF"/>
                </w:rPr>
                <w:t>SM</w:t>
              </w:r>
            </w:hyperlink>
          </w:p>
        </w:tc>
        <w:tc>
          <w:tcPr>
            <w:tcW w:w="3760" w:type="dxa"/>
            <w:vAlign w:val="bottom"/>
            <w:gridSpan w:val="16"/>
            <w:vMerge w:val="restart"/>
          </w:tcPr>
          <w:p>
            <w:pPr>
              <w:jc w:val="center"/>
              <w:spacing w:after="0"/>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Sales Agreement, dated as of August 7, 2020, by and</w:t>
              </w:r>
            </w:hyperlink>
          </w:p>
        </w:tc>
        <w:tc>
          <w:tcPr>
            <w:tcW w:w="240" w:type="dxa"/>
            <w:vAlign w:val="bottom"/>
            <w:gridSpan w:val="3"/>
            <w:vMerge w:val="restart"/>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8/7/2020</w:t>
            </w:r>
          </w:p>
        </w:tc>
        <w:tc>
          <w:tcPr>
            <w:tcW w:w="100" w:type="dxa"/>
            <w:vAlign w:val="bottom"/>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bottom w:val="single" w:sz="8" w:color="0000FF"/>
            </w:tcBorders>
            <w:gridSpan w:val="2"/>
            <w:vMerge w:val="continue"/>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180" w:type="dxa"/>
            <w:vAlign w:val="bottom"/>
          </w:tcPr>
          <w:p>
            <w:pPr>
              <w:spacing w:after="0"/>
              <w:rPr>
                <w:sz w:val="9"/>
                <w:szCs w:val="9"/>
                <w:color w:val="auto"/>
              </w:rPr>
            </w:pPr>
          </w:p>
        </w:tc>
        <w:tc>
          <w:tcPr>
            <w:tcW w:w="3760" w:type="dxa"/>
            <w:vAlign w:val="bottom"/>
            <w:tcBorders>
              <w:bottom w:val="single" w:sz="8" w:color="0000FF"/>
            </w:tcBorders>
            <w:gridSpan w:val="16"/>
            <w:vMerge w:val="continue"/>
          </w:tcPr>
          <w:p>
            <w:pPr>
              <w:spacing w:after="0"/>
              <w:rPr>
                <w:sz w:val="9"/>
                <w:szCs w:val="9"/>
                <w:color w:val="auto"/>
              </w:rPr>
            </w:pPr>
          </w:p>
        </w:tc>
        <w:tc>
          <w:tcPr>
            <w:tcW w:w="24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20" w:type="dxa"/>
            <w:vAlign w:val="bottom"/>
            <w:gridSpan w:val="3"/>
          </w:tcPr>
          <w:p>
            <w:pPr>
              <w:spacing w:after="0" w:line="126"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between X4 Pharmaceuticals,</w:t>
              </w:r>
            </w:hyperlink>
          </w:p>
        </w:tc>
        <w:tc>
          <w:tcPr>
            <w:tcW w:w="180" w:type="dxa"/>
            <w:vAlign w:val="bottom"/>
          </w:tcPr>
          <w:p>
            <w:pPr>
              <w:spacing w:after="0"/>
              <w:rPr>
                <w:sz w:val="10"/>
                <w:szCs w:val="10"/>
                <w:color w:val="auto"/>
              </w:rPr>
            </w:pPr>
          </w:p>
        </w:tc>
        <w:tc>
          <w:tcPr>
            <w:tcW w:w="4000" w:type="dxa"/>
            <w:vAlign w:val="bottom"/>
            <w:gridSpan w:val="19"/>
          </w:tcPr>
          <w:p>
            <w:pPr>
              <w:ind w:left="20"/>
              <w:spacing w:after="0" w:line="126"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Inc. and B. Riley Securities, Inc., Cantor Fitzgerald &amp;</w:t>
              </w:r>
            </w:hyperlink>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940" w:type="dxa"/>
            <w:vAlign w:val="bottom"/>
            <w:tcBorders>
              <w:top w:val="single" w:sz="8" w:color="0000FF"/>
            </w:tcBorders>
            <w:gridSpan w:val="21"/>
          </w:tcPr>
          <w:p>
            <w:pPr>
              <w:spacing w:after="0" w:line="126"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Co. and Stifel, Nicolaus &amp; Company, Incorporated.</w:t>
              </w:r>
            </w:hyperlink>
          </w:p>
        </w:tc>
        <w:tc>
          <w:tcPr>
            <w:tcW w:w="160" w:type="dxa"/>
            <w:vAlign w:val="bottom"/>
            <w:gridSpan w:val="2"/>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001-38295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top w:val="single" w:sz="8" w:color="0000FF"/>
            </w:tcBorders>
            <w:gridSpan w:val="13"/>
          </w:tcPr>
          <w:p>
            <w:pPr>
              <w:spacing w:after="0" w:line="165"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Description of Registered Securities</w:t>
              </w:r>
            </w:hyperlink>
          </w:p>
        </w:tc>
        <w:tc>
          <w:tcPr>
            <w:tcW w:w="2480" w:type="dxa"/>
            <w:vAlign w:val="bottom"/>
            <w:gridSpan w:val="10"/>
          </w:tcPr>
          <w:p>
            <w:pPr>
              <w:spacing w:after="0"/>
              <w:rPr>
                <w:sz w:val="15"/>
                <w:szCs w:val="15"/>
                <w:color w:val="auto"/>
              </w:rPr>
            </w:pPr>
          </w:p>
        </w:tc>
        <w:tc>
          <w:tcPr>
            <w:tcW w:w="760" w:type="dxa"/>
            <w:vAlign w:val="bottom"/>
            <w:vMerge w:val="continue"/>
          </w:tcPr>
          <w:p>
            <w:pPr>
              <w:spacing w:after="0"/>
              <w:rPr>
                <w:sz w:val="15"/>
                <w:szCs w:val="15"/>
                <w:color w:val="auto"/>
              </w:rPr>
            </w:pP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5"/>
              </w:rPr>
              <w:t>4.17</w:t>
            </w:r>
          </w:p>
        </w:tc>
        <w:tc>
          <w:tcPr>
            <w:tcW w:w="110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3/21/2023</w:t>
            </w: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540" w:type="dxa"/>
            <w:vAlign w:val="bottom"/>
            <w:tcBorders>
              <w:top w:val="single" w:sz="8" w:color="0000FF"/>
            </w:tcBorders>
            <w:gridSpan w:val="8"/>
          </w:tcPr>
          <w:p>
            <w:pPr>
              <w:spacing w:after="0"/>
              <w:rPr>
                <w:sz w:val="24"/>
                <w:szCs w:val="24"/>
                <w:color w:val="auto"/>
              </w:rPr>
            </w:pPr>
          </w:p>
        </w:tc>
        <w:tc>
          <w:tcPr>
            <w:tcW w:w="2760" w:type="dxa"/>
            <w:vAlign w:val="bottom"/>
            <w:gridSpan w:val="7"/>
          </w:tcPr>
          <w:p>
            <w:pPr>
              <w:jc w:val="right"/>
              <w:ind w:right="572"/>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86" w:lineRule="exact"/>
        <w:rPr>
          <w:sz w:val="20"/>
          <w:szCs w:val="20"/>
          <w:color w:val="auto"/>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4.12</w:t>
      </w:r>
      <w:r>
        <w:rPr>
          <w:sz w:val="20"/>
          <w:szCs w:val="20"/>
          <w:color w:val="auto"/>
        </w:rPr>
        <w:tab/>
      </w:r>
      <w:hyperlink r:id="rId120">
        <w:r>
          <w:rPr>
            <w:rFonts w:ascii="Times New Roman" w:cs="Times New Roman" w:eastAsia="Times New Roman" w:hAnsi="Times New Roman"/>
            <w:sz w:val="17"/>
            <w:szCs w:val="17"/>
            <w:u w:val="single" w:color="auto"/>
            <w:color w:val="0000FF"/>
          </w:rPr>
          <w:t>Form of March 2022 Prefunded Warrant</w:t>
        </w:r>
      </w:hyperlink>
    </w:p>
    <w:p>
      <w:pPr>
        <w:spacing w:after="0" w:line="24" w:lineRule="exact"/>
        <w:rPr>
          <w:sz w:val="20"/>
          <w:szCs w:val="20"/>
          <w:color w:val="auto"/>
        </w:rPr>
      </w:pPr>
    </w:p>
    <w:p>
      <w:pPr>
        <w:ind w:left="880" w:right="920" w:hanging="741"/>
        <w:spacing w:after="0" w:line="20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4.13</w:t>
      </w:r>
      <w:r>
        <w:rPr>
          <w:sz w:val="20"/>
          <w:szCs w:val="20"/>
          <w:color w:val="auto"/>
        </w:rPr>
        <w:tab/>
      </w:r>
      <w:hyperlink r:id="rId121">
        <w:r>
          <w:rPr>
            <w:rFonts w:ascii="Times New Roman" w:cs="Times New Roman" w:eastAsia="Times New Roman" w:hAnsi="Times New Roman"/>
            <w:sz w:val="18"/>
            <w:szCs w:val="18"/>
            <w:u w:val="single" w:color="auto"/>
            <w:color w:val="0000FF"/>
          </w:rPr>
          <w:t>Purchase Agreement, dated as of January 14, 2022, by and between X4</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Pharmaceuticals, Inc. and Lincoln Park Capital Fund, LLC.</w:t>
        </w:r>
      </w:hyperlink>
    </w:p>
    <w:p>
      <w:pPr>
        <w:spacing w:after="0" w:line="1" w:lineRule="exact"/>
        <w:rPr>
          <w:sz w:val="20"/>
          <w:szCs w:val="20"/>
          <w:color w:val="auto"/>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4.14</w:t>
      </w:r>
      <w:r>
        <w:rPr>
          <w:sz w:val="20"/>
          <w:szCs w:val="20"/>
          <w:color w:val="auto"/>
        </w:rPr>
        <w:tab/>
      </w:r>
      <w:hyperlink r:id="rId122">
        <w:r>
          <w:rPr>
            <w:rFonts w:ascii="Times New Roman" w:cs="Times New Roman" w:eastAsia="Times New Roman" w:hAnsi="Times New Roman"/>
            <w:sz w:val="17"/>
            <w:szCs w:val="17"/>
            <w:u w:val="single" w:color="auto"/>
            <w:color w:val="0000FF"/>
          </w:rPr>
          <w:t>Form of July 2022 Pre-Funded Warrant</w:t>
        </w:r>
      </w:hyperlink>
    </w:p>
    <w:p>
      <w:pPr>
        <w:spacing w:after="0" w:line="4" w:lineRule="exact"/>
        <w:rPr>
          <w:sz w:val="20"/>
          <w:szCs w:val="20"/>
          <w:color w:val="auto"/>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4.15</w:t>
      </w:r>
      <w:r>
        <w:rPr>
          <w:sz w:val="20"/>
          <w:szCs w:val="20"/>
          <w:color w:val="auto"/>
        </w:rPr>
        <w:tab/>
      </w:r>
      <w:hyperlink r:id="rId123">
        <w:r>
          <w:rPr>
            <w:rFonts w:ascii="Times New Roman" w:cs="Times New Roman" w:eastAsia="Times New Roman" w:hAnsi="Times New Roman"/>
            <w:sz w:val="17"/>
            <w:szCs w:val="17"/>
            <w:u w:val="single" w:color="auto"/>
            <w:color w:val="0000FF"/>
          </w:rPr>
          <w:t>Form of July 2022 Warrant</w:t>
        </w:r>
      </w:hyperlink>
    </w:p>
    <w:p>
      <w:pPr>
        <w:spacing w:after="0" w:line="18" w:lineRule="exact"/>
        <w:rPr>
          <w:sz w:val="20"/>
          <w:szCs w:val="20"/>
          <w:color w:val="auto"/>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124">
        <w:r>
          <w:rPr>
            <w:rFonts w:ascii="Times New Roman" w:cs="Times New Roman" w:eastAsia="Times New Roman" w:hAnsi="Times New Roman"/>
            <w:sz w:val="17"/>
            <w:szCs w:val="17"/>
            <w:u w:val="single" w:color="auto"/>
            <w:color w:val="0000FF"/>
          </w:rPr>
          <w:t>Form of December 2022 Pre-Funded Warrant</w:t>
        </w:r>
      </w:hyperlink>
    </w:p>
    <w:p>
      <w:pPr>
        <w:spacing w:after="0" w:line="18" w:lineRule="exact"/>
        <w:rPr>
          <w:sz w:val="20"/>
          <w:szCs w:val="20"/>
          <w:color w:val="auto"/>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125">
        <w:r>
          <w:rPr>
            <w:rFonts w:ascii="Times New Roman" w:cs="Times New Roman" w:eastAsia="Times New Roman" w:hAnsi="Times New Roman"/>
            <w:sz w:val="17"/>
            <w:szCs w:val="17"/>
            <w:u w:val="single" w:color="auto"/>
            <w:color w:val="0000FF"/>
          </w:rPr>
          <w:t>Form of Class C Warrant.</w:t>
        </w:r>
      </w:hyperlink>
    </w:p>
    <w:p>
      <w:pPr>
        <w:spacing w:after="0" w:line="18" w:lineRule="exact"/>
        <w:rPr>
          <w:sz w:val="20"/>
          <w:szCs w:val="20"/>
          <w:color w:val="auto"/>
        </w:rPr>
      </w:pPr>
    </w:p>
    <w:p>
      <w:pPr>
        <w:ind w:left="12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126">
        <w:r>
          <w:rPr>
            <w:rFonts w:ascii="Times New Roman" w:cs="Times New Roman" w:eastAsia="Times New Roman" w:hAnsi="Times New Roman"/>
            <w:sz w:val="17"/>
            <w:szCs w:val="17"/>
            <w:u w:val="single" w:color="auto"/>
            <w:color w:val="0000FF"/>
          </w:rPr>
          <w:t>Form of May 2023 Pre-Funded Warrant.</w:t>
        </w:r>
      </w:hyperlink>
    </w:p>
    <w:p>
      <w:pPr>
        <w:spacing w:after="0" w:line="18" w:lineRule="exact"/>
        <w:rPr>
          <w:sz w:val="20"/>
          <w:szCs w:val="20"/>
          <w:color w:val="auto"/>
        </w:rPr>
      </w:pP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27">
        <w:r>
          <w:rPr>
            <w:rFonts w:ascii="Times New Roman" w:cs="Times New Roman" w:eastAsia="Times New Roman" w:hAnsi="Times New Roman"/>
            <w:sz w:val="17"/>
            <w:szCs w:val="17"/>
            <w:u w:val="single" w:color="auto"/>
            <w:color w:val="0000FF"/>
          </w:rPr>
          <w:t>2015 Employee, Director and Consultant Equity Incentive Plan, as amended.</w:t>
        </w:r>
      </w:hyperlink>
    </w:p>
    <w:p>
      <w:pPr>
        <w:spacing w:after="0" w:line="18" w:lineRule="exact"/>
        <w:rPr>
          <w:sz w:val="20"/>
          <w:szCs w:val="20"/>
          <w:color w:val="auto"/>
        </w:rPr>
      </w:pPr>
    </w:p>
    <w:p>
      <w:pPr>
        <w:ind w:left="880" w:right="720" w:hanging="822"/>
        <w:spacing w:after="0" w:line="20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8">
        <w:r>
          <w:rPr>
            <w:rFonts w:ascii="Times New Roman" w:cs="Times New Roman" w:eastAsia="Times New Roman" w:hAnsi="Times New Roman"/>
            <w:sz w:val="18"/>
            <w:szCs w:val="18"/>
            <w:u w:val="single" w:color="auto"/>
            <w:color w:val="0000FF"/>
          </w:rPr>
          <w:t>Form of Stock Option Agreement under the 2015 Employee, Director and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Consultant Equity Incentive Plan, as amended.</w:t>
        </w:r>
      </w:hyperlink>
    </w:p>
    <w:p>
      <w:pPr>
        <w:spacing w:after="0" w:line="1" w:lineRule="exact"/>
        <w:rPr>
          <w:sz w:val="20"/>
          <w:szCs w:val="20"/>
          <w:color w:val="auto"/>
        </w:rPr>
      </w:pPr>
    </w:p>
    <w:p>
      <w:pPr>
        <w:ind w:left="880" w:right="140" w:hanging="822"/>
        <w:spacing w:after="0" w:line="199"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29">
        <w:r>
          <w:rPr>
            <w:rFonts w:ascii="Times New Roman" w:cs="Times New Roman" w:eastAsia="Times New Roman" w:hAnsi="Times New Roman"/>
            <w:sz w:val="18"/>
            <w:szCs w:val="18"/>
            <w:u w:val="single" w:color="auto"/>
            <w:color w:val="0000FF"/>
          </w:rPr>
          <w:t>Form of Restricted Stock Unit Agreement under the 2015 Employee, Director and</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Consultant Equity Incentive Plan, as amended</w:t>
        </w:r>
      </w:hyperlink>
    </w:p>
    <w:p>
      <w:pPr>
        <w:spacing w:after="0" w:line="1" w:lineRule="exact"/>
        <w:rPr>
          <w:sz w:val="20"/>
          <w:szCs w:val="20"/>
          <w:color w:val="auto"/>
        </w:rPr>
      </w:pP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30">
        <w:r>
          <w:rPr>
            <w:rFonts w:ascii="Times New Roman" w:cs="Times New Roman" w:eastAsia="Times New Roman" w:hAnsi="Times New Roman"/>
            <w:sz w:val="17"/>
            <w:szCs w:val="17"/>
            <w:u w:val="single" w:color="auto"/>
            <w:color w:val="0000FF"/>
          </w:rPr>
          <w:t>Amended and Restated 2017 Equity Incentive Plan</w:t>
        </w:r>
      </w:hyperlink>
    </w:p>
    <w:p>
      <w:pPr>
        <w:spacing w:after="0" w:line="4" w:lineRule="exact"/>
        <w:rPr>
          <w:sz w:val="20"/>
          <w:szCs w:val="20"/>
          <w:color w:val="auto"/>
        </w:rPr>
      </w:pP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31">
        <w:r>
          <w:rPr>
            <w:rFonts w:ascii="Times New Roman" w:cs="Times New Roman" w:eastAsia="Times New Roman" w:hAnsi="Times New Roman"/>
            <w:sz w:val="17"/>
            <w:szCs w:val="17"/>
            <w:u w:val="single" w:color="auto"/>
            <w:color w:val="0000FF"/>
          </w:rPr>
          <w:t>Form of Incentive Stock Option Agreement under the 2017 Equity Incentive Plan</w:t>
        </w:r>
      </w:hyperlink>
    </w:p>
    <w:p>
      <w:pPr>
        <w:spacing w:after="0" w:line="18" w:lineRule="exact"/>
        <w:rPr>
          <w:sz w:val="20"/>
          <w:szCs w:val="20"/>
          <w:color w:val="auto"/>
        </w:rPr>
      </w:pPr>
    </w:p>
    <w:p>
      <w:pPr>
        <w:ind w:left="880" w:right="280" w:hanging="822"/>
        <w:spacing w:after="0" w:line="20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32">
        <w:r>
          <w:rPr>
            <w:rFonts w:ascii="Times New Roman" w:cs="Times New Roman" w:eastAsia="Times New Roman" w:hAnsi="Times New Roman"/>
            <w:sz w:val="18"/>
            <w:szCs w:val="18"/>
            <w:u w:val="single" w:color="auto"/>
            <w:color w:val="0000FF"/>
          </w:rPr>
          <w:t>Form of Nonstatutory Stock Option Agreement under the 2017 Equity Incentive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Plan</w:t>
        </w:r>
      </w:hyperlink>
    </w:p>
    <w:p>
      <w:pPr>
        <w:spacing w:after="0" w:line="1" w:lineRule="exact"/>
        <w:rPr>
          <w:sz w:val="20"/>
          <w:szCs w:val="20"/>
          <w:color w:val="auto"/>
        </w:rPr>
      </w:pP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3">
        <w:r>
          <w:rPr>
            <w:rFonts w:ascii="Times New Roman" w:cs="Times New Roman" w:eastAsia="Times New Roman" w:hAnsi="Times New Roman"/>
            <w:sz w:val="17"/>
            <w:szCs w:val="17"/>
            <w:u w:val="single" w:color="auto"/>
            <w:color w:val="0000FF"/>
          </w:rPr>
          <w:t>Form of Restricted Stock Agreement under the 2017 Equity Incentive Plan</w:t>
        </w:r>
      </w:hyperlink>
    </w:p>
    <w:p>
      <w:pPr>
        <w:spacing w:after="0" w:line="4" w:lineRule="exact"/>
        <w:rPr>
          <w:sz w:val="20"/>
          <w:szCs w:val="20"/>
          <w:color w:val="auto"/>
        </w:rPr>
      </w:pP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4">
        <w:r>
          <w:rPr>
            <w:rFonts w:ascii="Times New Roman" w:cs="Times New Roman" w:eastAsia="Times New Roman" w:hAnsi="Times New Roman"/>
            <w:sz w:val="17"/>
            <w:szCs w:val="17"/>
            <w:u w:val="single" w:color="auto"/>
            <w:color w:val="0000FF"/>
          </w:rPr>
          <w:t>Form of Restricted Stock Unit Agreement under the 2017 Equity Incentive Plan</w:t>
        </w:r>
      </w:hyperlink>
    </w:p>
    <w:p>
      <w:pPr>
        <w:spacing w:after="0" w:line="18" w:lineRule="exact"/>
        <w:rPr>
          <w:sz w:val="20"/>
          <w:szCs w:val="20"/>
          <w:color w:val="auto"/>
        </w:rPr>
      </w:pP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35">
        <w:r>
          <w:rPr>
            <w:rFonts w:ascii="Times New Roman" w:cs="Times New Roman" w:eastAsia="Times New Roman" w:hAnsi="Times New Roman"/>
            <w:sz w:val="17"/>
            <w:szCs w:val="17"/>
            <w:u w:val="single" w:color="auto"/>
            <w:color w:val="0000FF"/>
          </w:rPr>
          <w:t>Form of Performance-Based Restricted Stock Unit</w:t>
        </w:r>
      </w:hyperlink>
    </w:p>
    <w:p>
      <w:pPr>
        <w:spacing w:after="0" w:line="18" w:lineRule="exact"/>
        <w:rPr>
          <w:sz w:val="20"/>
          <w:szCs w:val="20"/>
          <w:color w:val="auto"/>
        </w:rPr>
      </w:pPr>
    </w:p>
    <w:p>
      <w:pPr>
        <w:ind w:left="880" w:right="260" w:hanging="866"/>
        <w:spacing w:after="0" w:line="20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6">
        <w:r>
          <w:rPr>
            <w:rFonts w:ascii="Times New Roman" w:cs="Times New Roman" w:eastAsia="Times New Roman" w:hAnsi="Times New Roman"/>
            <w:sz w:val="18"/>
            <w:szCs w:val="18"/>
            <w:u w:val="single" w:color="auto"/>
            <w:color w:val="0000FF"/>
          </w:rPr>
          <w:t>X4 Pharmaceuticals Inc. Amended and Restated 2017 Employee Stock Purchase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Plan</w:t>
        </w:r>
      </w:hyperlink>
    </w:p>
    <w:p>
      <w:pPr>
        <w:spacing w:after="0" w:line="1" w:lineRule="exact"/>
        <w:rPr>
          <w:sz w:val="20"/>
          <w:szCs w:val="20"/>
          <w:color w:val="auto"/>
        </w:rPr>
      </w:pPr>
    </w:p>
    <w:p>
      <w:pPr>
        <w:ind w:left="880" w:hanging="863"/>
        <w:spacing w:after="0" w:line="199"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7">
        <w:r>
          <w:rPr>
            <w:rFonts w:ascii="Times New Roman" w:cs="Times New Roman" w:eastAsia="Times New Roman" w:hAnsi="Times New Roman"/>
            <w:sz w:val="18"/>
            <w:szCs w:val="18"/>
            <w:u w:val="single" w:color="auto"/>
            <w:color w:val="0000FF"/>
          </w:rPr>
          <w:t>X4 Pharmaceuticals, Inc. 2019 Amended and Restated Inducement Equity Incentive</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Plan</w:t>
        </w:r>
      </w:hyperlink>
    </w:p>
    <w:p>
      <w:pPr>
        <w:spacing w:after="0" w:line="1"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38">
        <w:r>
          <w:rPr>
            <w:rFonts w:ascii="Times New Roman" w:cs="Times New Roman" w:eastAsia="Times New Roman" w:hAnsi="Times New Roman"/>
            <w:sz w:val="17"/>
            <w:szCs w:val="17"/>
            <w:u w:val="single" w:color="auto"/>
            <w:color w:val="0000FF"/>
          </w:rPr>
          <w:t>Form of Stock Option Agreement under the 2019 Inducement Equity Incentive Plan</w:t>
        </w:r>
      </w:hyperlink>
    </w:p>
    <w:p>
      <w:pPr>
        <w:spacing w:after="0" w:line="4" w:lineRule="exact"/>
        <w:rPr>
          <w:sz w:val="20"/>
          <w:szCs w:val="20"/>
          <w:color w:val="auto"/>
        </w:rPr>
      </w:pPr>
    </w:p>
    <w:p>
      <w:pPr>
        <w:ind w:left="880" w:right="140" w:hanging="866"/>
        <w:spacing w:after="0" w:line="207"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39">
        <w:r>
          <w:rPr>
            <w:rFonts w:ascii="Times New Roman" w:cs="Times New Roman" w:eastAsia="Times New Roman" w:hAnsi="Times New Roman"/>
            <w:sz w:val="18"/>
            <w:szCs w:val="18"/>
            <w:u w:val="single" w:color="auto"/>
            <w:color w:val="0000FF"/>
          </w:rPr>
          <w:t>Form of Restricted Stock Agreement under the 2019 Inducement Equity Incentive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Plan</w:t>
        </w:r>
      </w:hyperlink>
    </w:p>
    <w:p>
      <w:pPr>
        <w:spacing w:after="0" w:line="1" w:lineRule="exact"/>
        <w:rPr>
          <w:sz w:val="20"/>
          <w:szCs w:val="20"/>
          <w:color w:val="auto"/>
        </w:rPr>
      </w:pPr>
    </w:p>
    <w:p>
      <w:pPr>
        <w:ind w:left="880" w:right="480" w:hanging="866"/>
        <w:spacing w:after="0" w:line="199"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0">
        <w:r>
          <w:rPr>
            <w:rFonts w:ascii="Times New Roman" w:cs="Times New Roman" w:eastAsia="Times New Roman" w:hAnsi="Times New Roman"/>
            <w:sz w:val="18"/>
            <w:szCs w:val="18"/>
            <w:u w:val="single" w:color="auto"/>
            <w:color w:val="0000FF"/>
          </w:rPr>
          <w:t>Form of Restricted Stock Unit Agreement under the 2019 Inducement Equity</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Incentive Plan</w:t>
        </w:r>
      </w:hyperlink>
    </w:p>
    <w:p>
      <w:pPr>
        <w:spacing w:after="0" w:line="1"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1">
        <w:r>
          <w:rPr>
            <w:rFonts w:ascii="Times New Roman" w:cs="Times New Roman" w:eastAsia="Times New Roman" w:hAnsi="Times New Roman"/>
            <w:sz w:val="17"/>
            <w:szCs w:val="17"/>
            <w:u w:val="single" w:color="auto"/>
            <w:color w:val="0000FF"/>
          </w:rPr>
          <w:t>Form of Indemnification Agreement (for directors and executive officers)</w:t>
        </w:r>
      </w:hyperlink>
    </w:p>
    <w:p>
      <w:pPr>
        <w:spacing w:after="0" w:line="4"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42">
        <w:r>
          <w:rPr>
            <w:rFonts w:ascii="Times New Roman" w:cs="Times New Roman" w:eastAsia="Times New Roman" w:hAnsi="Times New Roman"/>
            <w:sz w:val="17"/>
            <w:szCs w:val="17"/>
            <w:u w:val="single" w:color="auto"/>
            <w:color w:val="0000FF"/>
          </w:rPr>
          <w:t>Director Compensation Policy</w:t>
        </w:r>
      </w:hyperlink>
    </w:p>
    <w:p>
      <w:pPr>
        <w:spacing w:after="0" w:line="11" w:lineRule="exact"/>
        <w:rPr>
          <w:sz w:val="20"/>
          <w:szCs w:val="20"/>
          <w:color w:val="auto"/>
        </w:rPr>
      </w:pPr>
    </w:p>
    <w:p>
      <w:pPr>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43">
        <w:r>
          <w:rPr>
            <w:rFonts w:ascii="Times New Roman" w:cs="Times New Roman" w:eastAsia="Times New Roman" w:hAnsi="Times New Roman"/>
            <w:sz w:val="17"/>
            <w:szCs w:val="17"/>
            <w:u w:val="single" w:color="auto"/>
            <w:color w:val="0000FF"/>
          </w:rPr>
          <w:t>Amended and Restated Executive Employment Agreement, dated as of March 13,</w:t>
        </w:r>
      </w:hyperlink>
    </w:p>
    <w:p>
      <w:pPr>
        <w:ind w:left="8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2019, by and between the Company and Paula Ragan, Ph.D.</w:t>
        </w:r>
      </w:hyperlink>
    </w:p>
    <w:p>
      <w:pPr>
        <w:spacing w:after="0" w:line="4" w:lineRule="exact"/>
        <w:rPr>
          <w:sz w:val="20"/>
          <w:szCs w:val="20"/>
          <w:color w:val="auto"/>
        </w:rPr>
      </w:pPr>
    </w:p>
    <w:p>
      <w:pPr>
        <w:ind w:left="880" w:right="20" w:hanging="866"/>
        <w:spacing w:after="0" w:line="194"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44">
        <w:r>
          <w:rPr>
            <w:rFonts w:ascii="Times New Roman" w:cs="Times New Roman" w:eastAsia="Times New Roman" w:hAnsi="Times New Roman"/>
            <w:sz w:val="18"/>
            <w:szCs w:val="18"/>
            <w:u w:val="single" w:color="auto"/>
            <w:color w:val="0000FF"/>
          </w:rPr>
          <w:t>Amendment to Amended and Restated Executive Employment Agreement, dated as</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of March 13, 2019, dated February 13, 2020 by and between the Company and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Paula Ragan, Ph.D.</w:t>
        </w:r>
      </w:hyperlink>
    </w:p>
    <w:p>
      <w:pPr>
        <w:spacing w:after="0" w:line="2" w:lineRule="exact"/>
        <w:rPr>
          <w:rFonts w:ascii="Times New Roman" w:cs="Times New Roman" w:eastAsia="Times New Roman" w:hAnsi="Times New Roman"/>
          <w:sz w:val="18"/>
          <w:szCs w:val="18"/>
          <w:u w:val="single" w:color="auto"/>
          <w:color w:val="0000FF"/>
        </w:rPr>
      </w:pPr>
    </w:p>
    <w:p>
      <w:pPr>
        <w:jc w:val="center"/>
        <w:ind w:right="360"/>
        <w:spacing w:after="0" w:line="20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10.19@    </w:t>
      </w:r>
      <w:hyperlink r:id="rId145">
        <w:r>
          <w:rPr>
            <w:rFonts w:ascii="Times New Roman" w:cs="Times New Roman" w:eastAsia="Times New Roman" w:hAnsi="Times New Roman"/>
            <w:sz w:val="18"/>
            <w:szCs w:val="18"/>
            <w:u w:val="single" w:color="auto"/>
            <w:color w:val="0000FF"/>
          </w:rPr>
          <w:t>Second Amended and Restated Executive Employment Agreement, dated as of</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0000FF"/>
          </w:rPr>
          <w:t>March 7, 2022 by and between the Company and Adam S. Mostafa.</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3/3/2022</w:t>
            </w:r>
          </w:p>
        </w:tc>
      </w:tr>
      <w:tr>
        <w:trPr>
          <w:trHeight w:val="231"/>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1/14/2022</w:t>
            </w:r>
          </w:p>
        </w:tc>
      </w:tr>
      <w:tr>
        <w:trPr>
          <w:trHeight w:val="3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7/1/2022</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7/1/2022</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12/9/2022</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12/9/2022</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5/16/2023</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10.1.1</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3/13/2019</w:t>
            </w:r>
          </w:p>
        </w:tc>
      </w:tr>
      <w:tr>
        <w:trPr>
          <w:trHeight w:val="24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10.1.2</w:t>
            </w:r>
          </w:p>
        </w:tc>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4/2/2019</w:t>
            </w:r>
          </w:p>
        </w:tc>
      </w:tr>
      <w:tr>
        <w:trPr>
          <w:trHeight w:val="34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6/17/2019</w:t>
            </w:r>
          </w:p>
        </w:tc>
      </w:tr>
      <w:tr>
        <w:trPr>
          <w:trHeight w:val="338"/>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S-8</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6/10/2020</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S-1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10/20/2017</w:t>
            </w:r>
          </w:p>
        </w:tc>
      </w:tr>
      <w:tr>
        <w:trPr>
          <w:trHeight w:val="231"/>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S-1</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9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10/20/2017</w:t>
            </w:r>
          </w:p>
        </w:tc>
      </w:tr>
      <w:tr>
        <w:trPr>
          <w:trHeight w:val="338"/>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11/27/2018</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6/19/2019</w:t>
            </w:r>
          </w:p>
        </w:tc>
      </w:tr>
      <w:tr>
        <w:trPr>
          <w:trHeight w:val="22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S-8</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99.6</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6/10/2020</w:t>
            </w:r>
          </w:p>
        </w:tc>
      </w:tr>
      <w:tr>
        <w:trPr>
          <w:trHeight w:val="231"/>
        </w:trPr>
        <w:tc>
          <w:tcPr>
            <w:tcW w:w="5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8/10/2023</w:t>
            </w:r>
          </w:p>
        </w:tc>
      </w:tr>
      <w:tr>
        <w:trPr>
          <w:trHeight w:val="345"/>
        </w:trPr>
        <w:tc>
          <w:tcPr>
            <w:tcW w:w="5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8/10/2023</w:t>
            </w:r>
          </w:p>
        </w:tc>
      </w:tr>
      <w:tr>
        <w:trPr>
          <w:trHeight w:val="338"/>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6/17/2019</w:t>
            </w:r>
          </w:p>
        </w:tc>
      </w:tr>
      <w:tr>
        <w:trPr>
          <w:trHeight w:val="231"/>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6/17/2019</w:t>
            </w:r>
          </w:p>
        </w:tc>
      </w:tr>
      <w:tr>
        <w:trPr>
          <w:trHeight w:val="345"/>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6/17/2019</w:t>
            </w:r>
          </w:p>
        </w:tc>
      </w:tr>
      <w:tr>
        <w:trPr>
          <w:trHeight w:val="338"/>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S-1/A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11/06/2017</w:t>
            </w:r>
          </w:p>
        </w:tc>
      </w:tr>
      <w:tr>
        <w:trPr>
          <w:trHeight w:val="225"/>
        </w:trPr>
        <w:tc>
          <w:tcPr>
            <w:tcW w:w="5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10.16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3/21/2023</w:t>
            </w:r>
          </w:p>
        </w:tc>
      </w:tr>
      <w:tr>
        <w:trPr>
          <w:trHeight w:val="231"/>
        </w:trPr>
        <w:tc>
          <w:tcPr>
            <w:tcW w:w="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3/13/2019</w:t>
            </w:r>
          </w:p>
        </w:tc>
      </w:tr>
      <w:tr>
        <w:trPr>
          <w:trHeight w:val="411"/>
        </w:trPr>
        <w:tc>
          <w:tcPr>
            <w:tcW w:w="5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10-Q</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3/31/2020</w:t>
            </w:r>
          </w:p>
        </w:tc>
      </w:tr>
      <w:tr>
        <w:trPr>
          <w:trHeight w:val="490"/>
        </w:trPr>
        <w:tc>
          <w:tcPr>
            <w:tcW w:w="5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3/17/2022</w:t>
            </w: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333-239082</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333-239082</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001-38295</w:t>
      </w:r>
    </w:p>
    <w:p>
      <w:pPr>
        <w:sectPr>
          <w:pgSz w:w="11900" w:h="16838" w:orient="portrait"/>
          <w:cols w:equalWidth="0" w:num="3">
            <w:col w:w="6820" w:space="340"/>
            <w:col w:w="2300" w:space="480"/>
            <w:col w:w="840"/>
          </w:cols>
          <w:pgMar w:left="520" w:top="1440" w:right="599" w:bottom="1440" w:gutter="0" w:footer="0" w:header="0"/>
        </w:sectPr>
      </w:pPr>
    </w:p>
    <w:bookmarkStart w:id="80" w:name="page81"/>
    <w:bookmarkEnd w:id="80"/>
    <w:p>
      <w:pPr>
        <w:spacing w:after="0" w:line="45" w:lineRule="exact"/>
        <w:rPr>
          <w:sz w:val="20"/>
          <w:szCs w:val="20"/>
          <w:color w:val="auto"/>
        </w:rPr>
      </w:pPr>
    </w:p>
    <w:p>
      <w:pPr>
        <w:ind w:left="6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47">
        <w:r>
          <w:rPr>
            <w:rFonts w:ascii="Times New Roman" w:cs="Times New Roman" w:eastAsia="Times New Roman" w:hAnsi="Times New Roman"/>
            <w:sz w:val="17"/>
            <w:szCs w:val="17"/>
            <w:u w:val="single" w:color="auto"/>
            <w:color w:val="0000FF"/>
          </w:rPr>
          <w:t>Amended and Restated Executive Employment Agreement, dated as of March 7,</w:t>
        </w:r>
      </w:hyperlink>
    </w:p>
    <w:p>
      <w:pPr>
        <w:ind w:left="940"/>
        <w:spacing w:after="0" w:line="230"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2022 by and between the Company and Mary DiBiase</w:t>
        </w:r>
      </w:hyperlink>
    </w:p>
    <w:p>
      <w:pPr>
        <w:ind w:left="940" w:right="540" w:hanging="866"/>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48">
        <w:r>
          <w:rPr>
            <w:rFonts w:ascii="Times New Roman" w:cs="Times New Roman" w:eastAsia="Times New Roman" w:hAnsi="Times New Roman"/>
            <w:sz w:val="18"/>
            <w:szCs w:val="18"/>
            <w:u w:val="single" w:color="auto"/>
            <w:color w:val="0000FF"/>
          </w:rPr>
          <w:t>Executive Employment Agreement, dated as of November 14, 2022, by and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between the Company and Murray Stewart</w:t>
        </w:r>
      </w:hyperlink>
    </w:p>
    <w:p>
      <w:pPr>
        <w:spacing w:after="0" w:line="1" w:lineRule="exact"/>
        <w:rPr>
          <w:sz w:val="20"/>
          <w:szCs w:val="20"/>
          <w:color w:val="auto"/>
        </w:rPr>
      </w:pPr>
    </w:p>
    <w:p>
      <w:pPr>
        <w:ind w:left="940" w:right="120" w:hanging="829"/>
        <w:spacing w:after="0" w:line="211"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49">
        <w:r>
          <w:rPr>
            <w:rFonts w:ascii="Times New Roman" w:cs="Times New Roman" w:eastAsia="Times New Roman" w:hAnsi="Times New Roman"/>
            <w:sz w:val="17"/>
            <w:szCs w:val="17"/>
            <w:u w:val="single" w:color="auto"/>
            <w:color w:val="0000FF"/>
          </w:rPr>
          <w:t>License Agreement, dated as of July 10, 2014, by and between X4 Therapeutics,</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Inc. (formerly X4 Pharmaceuticals, LLC) and Genzyme Corp., a Sanofi company.</w:t>
        </w:r>
      </w:hyperlink>
    </w:p>
    <w:p>
      <w:pPr>
        <w:spacing w:after="0" w:line="1" w:lineRule="exact"/>
        <w:rPr>
          <w:sz w:val="20"/>
          <w:szCs w:val="20"/>
          <w:color w:val="auto"/>
        </w:rPr>
      </w:pPr>
    </w:p>
    <w:p>
      <w:pPr>
        <w:ind w:left="940" w:right="120" w:hanging="829"/>
        <w:spacing w:after="0" w:line="18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50">
        <w:r>
          <w:rPr>
            <w:rFonts w:ascii="Times New Roman" w:cs="Times New Roman" w:eastAsia="Times New Roman" w:hAnsi="Times New Roman"/>
            <w:sz w:val="18"/>
            <w:szCs w:val="18"/>
            <w:u w:val="single" w:color="auto"/>
            <w:color w:val="0000FF"/>
          </w:rPr>
          <w:t>Amendment No. 1 to License Agreement, dated as of October 23, 2014, by and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between X4 Therapeutics, Inc. (formerly X4 Pharmaceuticals, Inc.) and Genzyme</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Corporation, a Sanofi company.</w:t>
        </w:r>
      </w:hyperlink>
    </w:p>
    <w:p>
      <w:pPr>
        <w:spacing w:after="0" w:line="1" w:lineRule="exact"/>
        <w:rPr>
          <w:rFonts w:ascii="Times New Roman" w:cs="Times New Roman" w:eastAsia="Times New Roman" w:hAnsi="Times New Roman"/>
          <w:sz w:val="18"/>
          <w:szCs w:val="18"/>
          <w:u w:val="single" w:color="auto"/>
          <w:color w:val="0000FF"/>
        </w:rPr>
      </w:pPr>
    </w:p>
    <w:p>
      <w:pPr>
        <w:ind w:left="940" w:hanging="829"/>
        <w:spacing w:after="0" w:line="211"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51">
        <w:r>
          <w:rPr>
            <w:rFonts w:ascii="Times New Roman" w:cs="Times New Roman" w:eastAsia="Times New Roman" w:hAnsi="Times New Roman"/>
            <w:sz w:val="17"/>
            <w:szCs w:val="17"/>
            <w:u w:val="single" w:color="auto"/>
            <w:color w:val="0000FF"/>
          </w:rPr>
          <w:t>License Agreement, dated as of December 13, 2016, by and between X4</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Therapeutics, Inc. (formerly X4 Pharmaceuticals, Inc.) and Georgetown University.</w:t>
        </w:r>
      </w:hyperlink>
    </w:p>
    <w:p>
      <w:pPr>
        <w:spacing w:after="0" w:line="1" w:lineRule="exact"/>
        <w:rPr>
          <w:sz w:val="20"/>
          <w:szCs w:val="20"/>
          <w:color w:val="auto"/>
        </w:rPr>
      </w:pPr>
    </w:p>
    <w:p>
      <w:pPr>
        <w:jc w:val="both"/>
        <w:ind w:left="940" w:right="40" w:hanging="829"/>
        <w:spacing w:after="0" w:line="18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52">
        <w:r>
          <w:rPr>
            <w:rFonts w:ascii="Times New Roman" w:cs="Times New Roman" w:eastAsia="Times New Roman" w:hAnsi="Times New Roman"/>
            <w:sz w:val="18"/>
            <w:szCs w:val="18"/>
            <w:u w:val="single" w:color="auto"/>
            <w:color w:val="0000FF"/>
          </w:rPr>
          <w:t>Exclusive License Agreement, dated as of December 23, 2016, by and between X4</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Therapeutics, Inc. (formerly X4 Pharmaceuticals, Inc.) and Beth Israel Deaconess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Medical Center.</w:t>
        </w:r>
      </w:hyperlink>
    </w:p>
    <w:p>
      <w:pPr>
        <w:spacing w:after="0" w:line="1" w:lineRule="exact"/>
        <w:rPr>
          <w:rFonts w:ascii="Times New Roman" w:cs="Times New Roman" w:eastAsia="Times New Roman" w:hAnsi="Times New Roman"/>
          <w:sz w:val="18"/>
          <w:szCs w:val="18"/>
          <w:u w:val="single" w:color="auto"/>
          <w:color w:val="0000FF"/>
        </w:rPr>
      </w:pPr>
    </w:p>
    <w:p>
      <w:pPr>
        <w:jc w:val="both"/>
        <w:ind w:left="940" w:right="100" w:hanging="835"/>
        <w:spacing w:after="0" w:line="18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53">
        <w:r>
          <w:rPr>
            <w:rFonts w:ascii="Times New Roman" w:cs="Times New Roman" w:eastAsia="Times New Roman" w:hAnsi="Times New Roman"/>
            <w:sz w:val="18"/>
            <w:szCs w:val="18"/>
            <w:u w:val="single" w:color="auto"/>
            <w:color w:val="0000FF"/>
          </w:rPr>
          <w:t>Second Amended and Restated Loan and Security Agreement, dated as of January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6, 2023, by and among X4 Pharmaceuticals, Inc., X4 Therapeutics, Inc., Hercules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Capital, Inc. and Hercules Capital Funding IV LLC and Hercules Capital Funding</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Trust 2022-1</w:t>
        </w:r>
      </w:hyperlink>
    </w:p>
    <w:p>
      <w:pPr>
        <w:ind w:left="140"/>
        <w:spacing w:after="0" w:line="180"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w:t>
      </w:r>
      <w:r>
        <w:rPr>
          <w:sz w:val="20"/>
          <w:szCs w:val="20"/>
          <w:color w:val="auto"/>
        </w:rPr>
        <w:tab/>
      </w:r>
      <w:hyperlink r:id="rId154">
        <w:r>
          <w:rPr>
            <w:rFonts w:ascii="Times New Roman" w:cs="Times New Roman" w:eastAsia="Times New Roman" w:hAnsi="Times New Roman"/>
            <w:sz w:val="17"/>
            <w:szCs w:val="17"/>
            <w:u w:val="single" w:color="auto"/>
            <w:color w:val="0000FF"/>
          </w:rPr>
          <w:t>Lease, dated as of November 11, 2019, by and between X4 Pharmaceuticals Inc.</w:t>
        </w:r>
      </w:hyperlink>
    </w:p>
    <w:p>
      <w:pPr>
        <w:ind w:left="940"/>
        <w:spacing w:after="0" w:line="230"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and Beacon North Village, LLC.</w:t>
        </w:r>
      </w:hyperlink>
    </w:p>
    <w:p>
      <w:pPr>
        <w:spacing w:after="0" w:line="1" w:lineRule="exact"/>
        <w:rPr>
          <w:rFonts w:ascii="Times New Roman" w:cs="Times New Roman" w:eastAsia="Times New Roman" w:hAnsi="Times New Roman"/>
          <w:sz w:val="18"/>
          <w:szCs w:val="18"/>
          <w:u w:val="single" w:color="auto"/>
          <w:color w:val="0000FF"/>
        </w:rPr>
      </w:pPr>
    </w:p>
    <w:p>
      <w:pPr>
        <w:ind w:left="940" w:right="56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55">
        <w:r>
          <w:rPr>
            <w:rFonts w:ascii="Times New Roman" w:cs="Times New Roman" w:eastAsia="Times New Roman" w:hAnsi="Times New Roman"/>
            <w:sz w:val="18"/>
            <w:szCs w:val="18"/>
            <w:u w:val="single" w:color="auto"/>
            <w:color w:val="0000FF"/>
          </w:rPr>
          <w:t>Master Services Agreement, dated September 10, 2015, by and between X4</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Pharmaceuticals Inc. and Catalent, Inc.</w:t>
        </w:r>
      </w:hyperlink>
    </w:p>
    <w:p>
      <w:pPr>
        <w:spacing w:after="0" w:line="1" w:lineRule="exact"/>
        <w:rPr>
          <w:sz w:val="20"/>
          <w:szCs w:val="20"/>
          <w:color w:val="auto"/>
        </w:rPr>
      </w:pPr>
    </w:p>
    <w:p>
      <w:pPr>
        <w:ind w:left="940" w:right="16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56">
        <w:r>
          <w:rPr>
            <w:rFonts w:ascii="Times New Roman" w:cs="Times New Roman" w:eastAsia="Times New Roman" w:hAnsi="Times New Roman"/>
            <w:sz w:val="18"/>
            <w:szCs w:val="18"/>
            <w:u w:val="single" w:color="auto"/>
            <w:color w:val="0000FF"/>
          </w:rPr>
          <w:t>Amendment No. 1 to Master Services Agreement, dated August 25, 2017, by and</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between X4 Pharmaceuticals Inc. and Catalent, Inc.</w:t>
        </w:r>
      </w:hyperlink>
    </w:p>
    <w:p>
      <w:pPr>
        <w:spacing w:after="0" w:line="1" w:lineRule="exact"/>
        <w:rPr>
          <w:sz w:val="20"/>
          <w:szCs w:val="20"/>
          <w:color w:val="auto"/>
        </w:rPr>
      </w:pPr>
    </w:p>
    <w:p>
      <w:pPr>
        <w:ind w:left="940" w:right="4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57">
        <w:r>
          <w:rPr>
            <w:rFonts w:ascii="Times New Roman" w:cs="Times New Roman" w:eastAsia="Times New Roman" w:hAnsi="Times New Roman"/>
            <w:sz w:val="18"/>
            <w:szCs w:val="18"/>
            <w:u w:val="single" w:color="auto"/>
            <w:color w:val="0000FF"/>
          </w:rPr>
          <w:t>Amendment No. 2 to Master Services Agreement, dated February 28, 2020, by and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between X4 Pharmaceuticals Inc. and Catalent, Inc.</w:t>
        </w:r>
      </w:hyperlink>
    </w:p>
    <w:p>
      <w:pPr>
        <w:spacing w:after="0" w:line="1" w:lineRule="exact"/>
        <w:rPr>
          <w:sz w:val="20"/>
          <w:szCs w:val="20"/>
          <w:color w:val="auto"/>
        </w:rPr>
      </w:pPr>
    </w:p>
    <w:p>
      <w:pPr>
        <w:ind w:left="940" w:right="24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8">
        <w:r>
          <w:rPr>
            <w:rFonts w:ascii="Times New Roman" w:cs="Times New Roman" w:eastAsia="Times New Roman" w:hAnsi="Times New Roman"/>
            <w:sz w:val="18"/>
            <w:szCs w:val="18"/>
            <w:u w:val="single" w:color="auto"/>
            <w:color w:val="0000FF"/>
          </w:rPr>
          <w:t>Amendment No. 3 to Master Services Agreement, dated August 3, 2023, by and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between X4 Pharmaceuticals Inc., and Catalent.</w:t>
        </w:r>
      </w:hyperlink>
    </w:p>
    <w:p>
      <w:pPr>
        <w:spacing w:after="0" w:line="1" w:lineRule="exact"/>
        <w:rPr>
          <w:sz w:val="20"/>
          <w:szCs w:val="20"/>
          <w:color w:val="auto"/>
        </w:rPr>
      </w:pPr>
    </w:p>
    <w:p>
      <w:pPr>
        <w:ind w:left="940" w:right="68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9">
        <w:r>
          <w:rPr>
            <w:rFonts w:ascii="Times New Roman" w:cs="Times New Roman" w:eastAsia="Times New Roman" w:hAnsi="Times New Roman"/>
            <w:sz w:val="18"/>
            <w:szCs w:val="18"/>
            <w:u w:val="single" w:color="auto"/>
            <w:color w:val="0000FF"/>
          </w:rPr>
          <w:t>Master Services Agreement, dated February 19, 2016, by and between X4</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Pharmaceuticals Inc. and Aptuit (Oxford) Limited</w:t>
        </w:r>
      </w:hyperlink>
    </w:p>
    <w:p>
      <w:pPr>
        <w:spacing w:after="0" w:line="1" w:lineRule="exact"/>
        <w:rPr>
          <w:sz w:val="20"/>
          <w:szCs w:val="20"/>
          <w:color w:val="auto"/>
        </w:rPr>
      </w:pPr>
    </w:p>
    <w:p>
      <w:pPr>
        <w:ind w:left="940" w:right="4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60">
        <w:r>
          <w:rPr>
            <w:rFonts w:ascii="Times New Roman" w:cs="Times New Roman" w:eastAsia="Times New Roman" w:hAnsi="Times New Roman"/>
            <w:sz w:val="18"/>
            <w:szCs w:val="18"/>
            <w:u w:val="single" w:color="auto"/>
            <w:color w:val="0000FF"/>
          </w:rPr>
          <w:t>Amendment No. 1 to Master Services Agreement, dated February 19, 2016, by and</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between X4 Pharmaceuticals Inc. and Aptuit (Oxford) Limited.</w:t>
        </w:r>
      </w:hyperlink>
    </w:p>
    <w:p>
      <w:pPr>
        <w:spacing w:after="0" w:line="1" w:lineRule="exact"/>
        <w:rPr>
          <w:sz w:val="20"/>
          <w:szCs w:val="20"/>
          <w:color w:val="auto"/>
        </w:rPr>
      </w:pPr>
    </w:p>
    <w:p>
      <w:pPr>
        <w:ind w:left="940" w:right="40" w:hanging="785"/>
        <w:spacing w:after="0" w:line="199"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61">
        <w:r>
          <w:rPr>
            <w:rFonts w:ascii="Times New Roman" w:cs="Times New Roman" w:eastAsia="Times New Roman" w:hAnsi="Times New Roman"/>
            <w:sz w:val="18"/>
            <w:szCs w:val="18"/>
            <w:u w:val="single" w:color="auto"/>
            <w:color w:val="0000FF"/>
          </w:rPr>
          <w:t>Amendment No. 2 to Master Services Agreement, dated February 19, 2021, by and</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between X4 Pharmaceuticals Inc. and Aptuit (Oxford) Limited.</w:t>
        </w:r>
      </w:hyperlink>
    </w:p>
    <w:p>
      <w:pPr>
        <w:spacing w:after="0" w:line="1" w:lineRule="exact"/>
        <w:rPr>
          <w:sz w:val="20"/>
          <w:szCs w:val="20"/>
          <w:color w:val="auto"/>
        </w:rPr>
      </w:pPr>
    </w:p>
    <w:p>
      <w:pPr>
        <w:ind w:left="940" w:right="40" w:hanging="879"/>
        <w:spacing w:after="0" w:line="199" w:lineRule="auto"/>
        <w:tabs>
          <w:tab w:leader="none" w:pos="920" w:val="left"/>
        </w:tabs>
        <w:rPr>
          <w:sz w:val="20"/>
          <w:szCs w:val="20"/>
          <w:color w:val="auto"/>
        </w:rPr>
      </w:pPr>
      <w:r>
        <w:rPr>
          <w:rFonts w:ascii="Times New Roman" w:cs="Times New Roman" w:eastAsia="Times New Roman" w:hAnsi="Times New Roman"/>
          <w:sz w:val="18"/>
          <w:szCs w:val="18"/>
          <w:color w:val="auto"/>
        </w:rPr>
        <w:t>10.35*+</w:t>
      </w:r>
      <w:r>
        <w:rPr>
          <w:sz w:val="20"/>
          <w:szCs w:val="20"/>
          <w:color w:val="auto"/>
        </w:rPr>
        <w:tab/>
      </w:r>
      <w:r>
        <w:rPr>
          <w:rFonts w:ascii="Times New Roman" w:cs="Times New Roman" w:eastAsia="Times New Roman" w:hAnsi="Times New Roman"/>
          <w:sz w:val="18"/>
          <w:szCs w:val="18"/>
          <w:u w:val="single" w:color="auto"/>
          <w:color w:val="0000FF"/>
        </w:rPr>
        <w:t>Amendment No. 3 to Master Services Agreement, dated February 19, 2024, by and between X4 Pharmaceuticals Inc. and Aptuit (Oxford) Limited.</w:t>
      </w:r>
    </w:p>
    <w:p>
      <w:pPr>
        <w:ind w:left="60"/>
        <w:spacing w:after="0" w:line="180"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10.36@</w:t>
      </w:r>
      <w:r>
        <w:rPr>
          <w:sz w:val="20"/>
          <w:szCs w:val="20"/>
          <w:color w:val="auto"/>
        </w:rPr>
        <w:tab/>
      </w:r>
      <w:hyperlink r:id="rId162">
        <w:r>
          <w:rPr>
            <w:rFonts w:ascii="Times New Roman" w:cs="Times New Roman" w:eastAsia="Times New Roman" w:hAnsi="Times New Roman"/>
            <w:sz w:val="17"/>
            <w:szCs w:val="17"/>
            <w:u w:val="single" w:color="auto"/>
            <w:color w:val="0000FF"/>
          </w:rPr>
          <w:t>Form of Stock Appreciation Right Agreement under the X4 Pharmaceuticals, Inc.</w:t>
        </w:r>
      </w:hyperlink>
    </w:p>
    <w:p>
      <w:pPr>
        <w:ind w:left="940"/>
        <w:spacing w:after="0" w:line="230"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Amended and Restated 2017 Equity Incentive Plan.</w:t>
        </w:r>
      </w:hyperlink>
    </w:p>
    <w:p>
      <w:pPr>
        <w:spacing w:after="0" w:line="1" w:lineRule="exact"/>
        <w:rPr>
          <w:sz w:val="20"/>
          <w:szCs w:val="20"/>
          <w:color w:val="auto"/>
        </w:rPr>
      </w:pPr>
    </w:p>
    <w:p>
      <w:pPr>
        <w:ind w:left="940" w:hanging="835"/>
        <w:spacing w:after="0" w:line="184"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63">
        <w:r>
          <w:rPr>
            <w:rFonts w:ascii="Times New Roman" w:cs="Times New Roman" w:eastAsia="Times New Roman" w:hAnsi="Times New Roman"/>
            <w:sz w:val="18"/>
            <w:szCs w:val="18"/>
            <w:u w:val="single" w:color="auto"/>
            <w:color w:val="0000FF"/>
          </w:rPr>
          <w:t>First Amendment to Second Amended and Restated Loan and Security Agreement,</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dated as of August 2, 2023, by and among X4 Pharmaceuticals, Inc., X4</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Therapeutics, Inc, Hercules Capital, Inc. and Hercules Capital Funding IV LLC and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Hercules Capital Funding Trust 2022-1.</w:t>
        </w:r>
      </w:hyperlink>
    </w:p>
    <w:p>
      <w:pPr>
        <w:spacing w:after="0" w:line="1" w:lineRule="exact"/>
        <w:rPr>
          <w:rFonts w:ascii="Times New Roman" w:cs="Times New Roman" w:eastAsia="Times New Roman" w:hAnsi="Times New Roman"/>
          <w:sz w:val="18"/>
          <w:szCs w:val="18"/>
          <w:u w:val="single" w:color="auto"/>
          <w:color w:val="0000FF"/>
        </w:rPr>
      </w:pPr>
    </w:p>
    <w:p>
      <w:pPr>
        <w:jc w:val="center"/>
        <w:ind w:right="180"/>
        <w:spacing w:after="0" w:line="199" w:lineRule="auto"/>
        <w:rPr>
          <w:sz w:val="20"/>
          <w:szCs w:val="20"/>
          <w:color w:val="auto"/>
        </w:rPr>
      </w:pPr>
      <w:r>
        <w:rPr>
          <w:rFonts w:ascii="Times New Roman" w:cs="Times New Roman" w:eastAsia="Times New Roman" w:hAnsi="Times New Roman"/>
          <w:sz w:val="18"/>
          <w:szCs w:val="18"/>
          <w:color w:val="auto"/>
        </w:rPr>
        <w:t xml:space="preserve">10.38+*#   </w:t>
      </w:r>
      <w:r>
        <w:rPr>
          <w:rFonts w:ascii="Times New Roman" w:cs="Times New Roman" w:eastAsia="Times New Roman" w:hAnsi="Times New Roman"/>
          <w:sz w:val="18"/>
          <w:szCs w:val="18"/>
          <w:u w:val="single" w:color="auto"/>
          <w:color w:val="0000FF"/>
        </w:rPr>
        <w:t>License Agreement and Supply Agreement, dated as of January 13, 2025,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between X4 Pharmaceuticals Inc. and Norgine Pharma UK Limited</w:t>
      </w:r>
    </w:p>
    <w:p>
      <w:pPr>
        <w:spacing w:after="0" w:line="1" w:lineRule="exact"/>
        <w:rPr>
          <w:rFonts w:ascii="Times New Roman" w:cs="Times New Roman" w:eastAsia="Times New Roman" w:hAnsi="Times New Roman"/>
          <w:sz w:val="18"/>
          <w:szCs w:val="18"/>
          <w:u w:val="single" w:color="auto"/>
          <w:color w:val="0000FF"/>
        </w:rPr>
      </w:pPr>
    </w:p>
    <w:p>
      <w:pPr>
        <w:ind w:left="18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64">
        <w:r>
          <w:rPr>
            <w:rFonts w:ascii="Times New Roman" w:cs="Times New Roman" w:eastAsia="Times New Roman" w:hAnsi="Times New Roman"/>
            <w:sz w:val="17"/>
            <w:szCs w:val="17"/>
            <w:u w:val="single" w:color="auto"/>
            <w:color w:val="0000FF"/>
          </w:rPr>
          <w:t>Insider Trading Policy</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4" w:lineRule="exact"/>
        <w:rPr>
          <w:rFonts w:ascii="Times New Roman" w:cs="Times New Roman" w:eastAsia="Times New Roman" w:hAnsi="Times New Roman"/>
          <w:sz w:val="18"/>
          <w:szCs w:val="18"/>
          <w:u w:val="single" w:color="auto"/>
          <w:color w:val="0000FF"/>
        </w:rPr>
      </w:pPr>
    </w:p>
    <w:p>
      <w:pPr>
        <w:ind w:left="540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-97155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9"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1"/>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3/17/2022</w:t>
            </w:r>
          </w:p>
        </w:tc>
      </w:tr>
      <w:tr>
        <w:trPr>
          <w:trHeight w:val="344"/>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3/21/2023</w:t>
            </w:r>
          </w:p>
        </w:tc>
      </w:tr>
      <w:tr>
        <w:trPr>
          <w:trHeight w:val="344"/>
        </w:trPr>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3/13/2019</w:t>
            </w:r>
          </w:p>
        </w:tc>
      </w:tr>
      <w:tr>
        <w:trPr>
          <w:trHeight w:val="345"/>
        </w:trPr>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8-K/A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5/13/2019</w:t>
            </w:r>
          </w:p>
        </w:tc>
      </w:tr>
      <w:tr>
        <w:trPr>
          <w:trHeight w:val="490"/>
        </w:trPr>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8-K/A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5/13/2019</w:t>
            </w:r>
          </w:p>
        </w:tc>
      </w:tr>
      <w:tr>
        <w:trPr>
          <w:trHeight w:val="344"/>
        </w:trPr>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8-K/A</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5/13/2019</w:t>
            </w:r>
          </w:p>
        </w:tc>
      </w:tr>
      <w:tr>
        <w:trPr>
          <w:trHeight w:val="490"/>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3/21/2023</w:t>
            </w:r>
          </w:p>
        </w:tc>
      </w:tr>
      <w:tr>
        <w:trPr>
          <w:trHeight w:val="636"/>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344"/>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345"/>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344"/>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344"/>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3/21/2024</w:t>
            </w:r>
          </w:p>
        </w:tc>
      </w:tr>
      <w:tr>
        <w:trPr>
          <w:trHeight w:val="345"/>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344"/>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3/12/2020</w:t>
            </w:r>
          </w:p>
        </w:tc>
      </w:tr>
      <w:tr>
        <w:trPr>
          <w:trHeight w:val="345"/>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8"/>
              </w:rPr>
              <w:t>3/19/2021</w:t>
            </w:r>
          </w:p>
        </w:tc>
      </w:tr>
      <w:tr>
        <w:trPr>
          <w:trHeight w:val="689"/>
        </w:trPr>
        <w:tc>
          <w:tcPr>
            <w:tcW w:w="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2"/>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5"/>
              </w:rPr>
              <w:t>11/9/2022</w:t>
            </w:r>
          </w:p>
        </w:tc>
      </w:tr>
      <w:tr>
        <w:trPr>
          <w:trHeight w:val="345"/>
        </w:trPr>
        <w:tc>
          <w:tcPr>
            <w:tcW w:w="6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7"/>
              </w:rPr>
              <w:t>11/09/2023</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p>
      <w:pPr>
        <w:ind w:left="60"/>
        <w:spacing w:after="0"/>
        <w:tabs>
          <w:tab w:leader="none" w:pos="820" w:val="left"/>
          <w:tab w:leader="none" w:pos="152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8/08/2024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6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29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29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14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8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color w:val="auto"/>
        </w:rPr>
        <w:t>001-38295</w:t>
      </w:r>
    </w:p>
    <w:p>
      <w:pPr>
        <w:sectPr>
          <w:pgSz w:w="11900" w:h="16838" w:orient="portrait"/>
          <w:cols w:equalWidth="0" w:num="3">
            <w:col w:w="6840" w:space="360"/>
            <w:col w:w="2300" w:space="540"/>
            <w:col w:w="760"/>
          </w:cols>
          <w:pgMar w:left="460" w:top="1440" w:right="639" w:bottom="1440" w:gutter="0" w:footer="0" w:header="0"/>
        </w:sectPr>
      </w:pPr>
    </w:p>
    <w:bookmarkStart w:id="81" w:name="page82"/>
    <w:bookmarkEnd w:id="81"/>
    <w:p>
      <w:pPr>
        <w:spacing w:after="0" w:line="7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rPr>
              <w:t>21.1</w:t>
            </w:r>
          </w:p>
        </w:tc>
        <w:tc>
          <w:tcPr>
            <w:tcW w:w="5940" w:type="dxa"/>
            <w:vAlign w:val="bottom"/>
            <w:gridSpan w:val="1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List of Subsidiaries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0" w:type="dxa"/>
            <w:vAlign w:val="bottom"/>
          </w:tcPr>
          <w:p>
            <w:pPr>
              <w:jc w:val="center"/>
              <w:ind w:right="192"/>
              <w:spacing w:after="0" w:line="205" w:lineRule="exact"/>
              <w:rPr>
                <w:sz w:val="20"/>
                <w:szCs w:val="20"/>
                <w:color w:val="auto"/>
              </w:rPr>
            </w:pPr>
            <w:r>
              <w:rPr>
                <w:rFonts w:ascii="Times New Roman" w:cs="Times New Roman" w:eastAsia="Times New Roman" w:hAnsi="Times New Roman"/>
                <w:sz w:val="18"/>
                <w:szCs w:val="18"/>
                <w:color w:val="auto"/>
                <w:w w:val="98"/>
              </w:rPr>
              <w:t>23.1*</w:t>
            </w:r>
          </w:p>
        </w:tc>
        <w:tc>
          <w:tcPr>
            <w:tcW w:w="59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Consent of PricewaterhouseCoopers LLP, Independent Registered Public</w:t>
            </w:r>
          </w:p>
        </w:tc>
        <w:tc>
          <w:tcPr>
            <w:tcW w:w="0" w:type="dxa"/>
            <w:vAlign w:val="bottom"/>
          </w:tcPr>
          <w:p>
            <w:pPr>
              <w:spacing w:after="0"/>
              <w:rPr>
                <w:sz w:val="1"/>
                <w:szCs w:val="1"/>
                <w:color w:val="auto"/>
              </w:rPr>
            </w:pPr>
          </w:p>
        </w:tc>
      </w:tr>
      <w:tr>
        <w:trPr>
          <w:trHeight w:val="126"/>
        </w:trPr>
        <w:tc>
          <w:tcPr>
            <w:tcW w:w="92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8"/>
              </w:rPr>
              <w:t>31.1*</w:t>
            </w:r>
          </w:p>
        </w:tc>
        <w:tc>
          <w:tcPr>
            <w:tcW w:w="5160" w:type="dxa"/>
            <w:vAlign w:val="bottom"/>
            <w:tcBorders>
              <w:top w:val="single" w:sz="8" w:color="0000FF"/>
            </w:tcBorders>
            <w:gridSpan w:val="6"/>
          </w:tcPr>
          <w:p>
            <w:pPr>
              <w:spacing w:after="0" w:line="126" w:lineRule="exact"/>
              <w:rPr>
                <w:sz w:val="20"/>
                <w:szCs w:val="20"/>
                <w:color w:val="auto"/>
              </w:rPr>
            </w:pPr>
            <w:r>
              <w:rPr>
                <w:rFonts w:ascii="Times New Roman" w:cs="Times New Roman" w:eastAsia="Times New Roman" w:hAnsi="Times New Roman"/>
                <w:sz w:val="14"/>
                <w:szCs w:val="14"/>
                <w:color w:val="0000FF"/>
              </w:rPr>
              <w:t>Accounting Firm</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5940" w:type="dxa"/>
            <w:vAlign w:val="bottom"/>
            <w:gridSpan w:val="10"/>
          </w:tcPr>
          <w:p>
            <w:pPr>
              <w:spacing w:after="0" w:line="179" w:lineRule="exact"/>
              <w:rPr>
                <w:sz w:val="20"/>
                <w:szCs w:val="20"/>
                <w:color w:val="auto"/>
              </w:rPr>
            </w:pPr>
            <w:r>
              <w:rPr>
                <w:rFonts w:ascii="Times New Roman" w:cs="Times New Roman" w:eastAsia="Times New Roman" w:hAnsi="Times New Roman"/>
                <w:sz w:val="18"/>
                <w:szCs w:val="18"/>
                <w:color w:val="0000FF"/>
              </w:rPr>
              <w:t>Certification of the Chief Executive Officer, as required by Section 302 of the</w:t>
            </w:r>
          </w:p>
        </w:tc>
        <w:tc>
          <w:tcPr>
            <w:tcW w:w="0" w:type="dxa"/>
            <w:vAlign w:val="bottom"/>
          </w:tcPr>
          <w:p>
            <w:pPr>
              <w:spacing w:after="0"/>
              <w:rPr>
                <w:sz w:val="1"/>
                <w:szCs w:val="1"/>
                <w:color w:val="auto"/>
              </w:rPr>
            </w:pPr>
          </w:p>
        </w:tc>
      </w:tr>
      <w:tr>
        <w:trPr>
          <w:trHeight w:val="126"/>
        </w:trPr>
        <w:tc>
          <w:tcPr>
            <w:tcW w:w="92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8"/>
              </w:rPr>
              <w:t>31.2*</w:t>
            </w:r>
          </w:p>
        </w:tc>
        <w:tc>
          <w:tcPr>
            <w:tcW w:w="5480" w:type="dxa"/>
            <w:vAlign w:val="bottom"/>
            <w:tcBorders>
              <w:top w:val="single" w:sz="8" w:color="0000FF"/>
            </w:tcBorders>
            <w:gridSpan w:val="8"/>
          </w:tcPr>
          <w:p>
            <w:pPr>
              <w:spacing w:after="0" w:line="126" w:lineRule="exact"/>
              <w:rPr>
                <w:sz w:val="20"/>
                <w:szCs w:val="20"/>
                <w:color w:val="auto"/>
              </w:rPr>
            </w:pPr>
            <w:r>
              <w:rPr>
                <w:rFonts w:ascii="Times New Roman" w:cs="Times New Roman" w:eastAsia="Times New Roman" w:hAnsi="Times New Roman"/>
                <w:sz w:val="14"/>
                <w:szCs w:val="14"/>
                <w:color w:val="0000FF"/>
              </w:rPr>
              <w:t>Sarbanes-Oxley Act of 2002</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5940" w:type="dxa"/>
            <w:vAlign w:val="bottom"/>
            <w:gridSpan w:val="10"/>
          </w:tcPr>
          <w:p>
            <w:pPr>
              <w:spacing w:after="0" w:line="179" w:lineRule="exact"/>
              <w:rPr>
                <w:sz w:val="20"/>
                <w:szCs w:val="20"/>
                <w:color w:val="auto"/>
              </w:rPr>
            </w:pPr>
            <w:r>
              <w:rPr>
                <w:rFonts w:ascii="Times New Roman" w:cs="Times New Roman" w:eastAsia="Times New Roman" w:hAnsi="Times New Roman"/>
                <w:sz w:val="18"/>
                <w:szCs w:val="18"/>
                <w:color w:val="0000FF"/>
              </w:rPr>
              <w:t>Certification of the Chief Financial Officer, as required by Section 302 of the</w:t>
            </w:r>
          </w:p>
        </w:tc>
        <w:tc>
          <w:tcPr>
            <w:tcW w:w="0" w:type="dxa"/>
            <w:vAlign w:val="bottom"/>
          </w:tcPr>
          <w:p>
            <w:pPr>
              <w:spacing w:after="0"/>
              <w:rPr>
                <w:sz w:val="1"/>
                <w:szCs w:val="1"/>
                <w:color w:val="auto"/>
              </w:rPr>
            </w:pPr>
          </w:p>
        </w:tc>
      </w:tr>
      <w:tr>
        <w:trPr>
          <w:trHeight w:val="126"/>
        </w:trPr>
        <w:tc>
          <w:tcPr>
            <w:tcW w:w="92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6"/>
              </w:rPr>
              <w:t>32.1**</w:t>
            </w:r>
          </w:p>
        </w:tc>
        <w:tc>
          <w:tcPr>
            <w:tcW w:w="5440" w:type="dxa"/>
            <w:vAlign w:val="bottom"/>
            <w:tcBorders>
              <w:top w:val="single" w:sz="8" w:color="0000FF"/>
            </w:tcBorders>
            <w:gridSpan w:val="7"/>
          </w:tcPr>
          <w:p>
            <w:pPr>
              <w:spacing w:after="0" w:line="126" w:lineRule="exact"/>
              <w:rPr>
                <w:sz w:val="20"/>
                <w:szCs w:val="20"/>
                <w:color w:val="auto"/>
              </w:rPr>
            </w:pPr>
            <w:r>
              <w:rPr>
                <w:rFonts w:ascii="Times New Roman" w:cs="Times New Roman" w:eastAsia="Times New Roman" w:hAnsi="Times New Roman"/>
                <w:sz w:val="14"/>
                <w:szCs w:val="14"/>
                <w:color w:val="0000FF"/>
              </w:rPr>
              <w:t>Sarbanes-Oxley Act of 2002</w:t>
            </w:r>
          </w:p>
        </w:tc>
        <w:tc>
          <w:tcPr>
            <w:tcW w:w="4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5940" w:type="dxa"/>
            <w:vAlign w:val="bottom"/>
            <w:gridSpan w:val="10"/>
          </w:tcPr>
          <w:p>
            <w:pPr>
              <w:spacing w:after="0" w:line="179" w:lineRule="exact"/>
              <w:rPr>
                <w:sz w:val="20"/>
                <w:szCs w:val="20"/>
                <w:color w:val="auto"/>
              </w:rPr>
            </w:pPr>
            <w:r>
              <w:rPr>
                <w:rFonts w:ascii="Times New Roman" w:cs="Times New Roman" w:eastAsia="Times New Roman" w:hAnsi="Times New Roman"/>
                <w:sz w:val="18"/>
                <w:szCs w:val="18"/>
                <w:color w:val="0000FF"/>
                <w:w w:val="97"/>
              </w:rPr>
              <w:t>Certification of the Chief Executive Officer and Chief Financial Officer, as required</w:t>
            </w:r>
          </w:p>
        </w:tc>
        <w:tc>
          <w:tcPr>
            <w:tcW w:w="0" w:type="dxa"/>
            <w:vAlign w:val="bottom"/>
          </w:tcPr>
          <w:p>
            <w:pPr>
              <w:spacing w:after="0"/>
              <w:rPr>
                <w:sz w:val="1"/>
                <w:szCs w:val="1"/>
                <w:color w:val="auto"/>
              </w:rPr>
            </w:pPr>
          </w:p>
        </w:tc>
      </w:tr>
      <w:tr>
        <w:trPr>
          <w:trHeight w:val="126"/>
        </w:trPr>
        <w:tc>
          <w:tcPr>
            <w:tcW w:w="920" w:type="dxa"/>
            <w:vAlign w:val="bottom"/>
            <w:vMerge w:val="restart"/>
          </w:tcPr>
          <w:p>
            <w:pPr>
              <w:jc w:val="center"/>
              <w:ind w:right="192"/>
              <w:spacing w:after="0"/>
              <w:rPr>
                <w:sz w:val="20"/>
                <w:szCs w:val="20"/>
                <w:color w:val="auto"/>
              </w:rPr>
            </w:pPr>
            <w:r>
              <w:rPr>
                <w:rFonts w:ascii="Times New Roman" w:cs="Times New Roman" w:eastAsia="Times New Roman" w:hAnsi="Times New Roman"/>
                <w:sz w:val="18"/>
                <w:szCs w:val="18"/>
                <w:color w:val="auto"/>
                <w:w w:val="99"/>
              </w:rPr>
              <w:t>97.1@</w:t>
            </w:r>
          </w:p>
        </w:tc>
        <w:tc>
          <w:tcPr>
            <w:tcW w:w="5920" w:type="dxa"/>
            <w:vAlign w:val="bottom"/>
            <w:tcBorders>
              <w:top w:val="single" w:sz="8" w:color="0000FF"/>
            </w:tcBorders>
            <w:gridSpan w:val="9"/>
          </w:tcPr>
          <w:p>
            <w:pPr>
              <w:spacing w:after="0" w:line="126" w:lineRule="exact"/>
              <w:rPr>
                <w:sz w:val="20"/>
                <w:szCs w:val="20"/>
                <w:color w:val="auto"/>
              </w:rPr>
            </w:pPr>
            <w:r>
              <w:rPr>
                <w:rFonts w:ascii="Times New Roman" w:cs="Times New Roman" w:eastAsia="Times New Roman" w:hAnsi="Times New Roman"/>
                <w:sz w:val="14"/>
                <w:szCs w:val="14"/>
                <w:color w:val="0000FF"/>
              </w:rPr>
              <w:t>by Section 906 of the Sarbanes-Oxley Act of 2002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920" w:type="dxa"/>
            <w:vAlign w:val="bottom"/>
            <w:vMerge w:val="continue"/>
          </w:tcPr>
          <w:p>
            <w:pPr>
              <w:spacing w:after="0"/>
              <w:rPr>
                <w:sz w:val="15"/>
                <w:szCs w:val="15"/>
                <w:color w:val="auto"/>
              </w:rPr>
            </w:pPr>
          </w:p>
        </w:tc>
        <w:tc>
          <w:tcPr>
            <w:tcW w:w="3560" w:type="dxa"/>
            <w:vAlign w:val="bottom"/>
            <w:tcBorders>
              <w:top w:val="single" w:sz="8" w:color="0000FF"/>
            </w:tcBorders>
            <w:gridSpan w:val="5"/>
          </w:tcPr>
          <w:p>
            <w:pPr>
              <w:spacing w:after="0" w:line="17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Incentive Compensation Recoupment Policy</w:t>
              </w:r>
            </w:hyperlink>
          </w:p>
        </w:tc>
        <w:tc>
          <w:tcPr>
            <w:tcW w:w="23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9"/>
              </w:rPr>
              <w:t>101.INS</w:t>
            </w:r>
          </w:p>
        </w:tc>
        <w:tc>
          <w:tcPr>
            <w:tcW w:w="31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20" w:type="dxa"/>
            <w:vAlign w:val="bottom"/>
          </w:tcPr>
          <w:p>
            <w:pPr>
              <w:jc w:val="center"/>
              <w:ind w:right="192"/>
              <w:spacing w:after="0" w:line="199" w:lineRule="exact"/>
              <w:rPr>
                <w:sz w:val="20"/>
                <w:szCs w:val="20"/>
                <w:color w:val="auto"/>
              </w:rPr>
            </w:pPr>
            <w:r>
              <w:rPr>
                <w:rFonts w:ascii="Times New Roman" w:cs="Times New Roman" w:eastAsia="Times New Roman" w:hAnsi="Times New Roman"/>
                <w:sz w:val="18"/>
                <w:szCs w:val="18"/>
                <w:color w:val="auto"/>
                <w:w w:val="96"/>
              </w:rPr>
              <w:t>101.SCH</w:t>
            </w:r>
          </w:p>
        </w:tc>
        <w:tc>
          <w:tcPr>
            <w:tcW w:w="594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99"/>
        </w:trPr>
        <w:tc>
          <w:tcPr>
            <w:tcW w:w="920" w:type="dxa"/>
            <w:vAlign w:val="bottom"/>
          </w:tcPr>
          <w:p>
            <w:pPr>
              <w:jc w:val="center"/>
              <w:ind w:right="172"/>
              <w:spacing w:after="0" w:line="199" w:lineRule="exact"/>
              <w:rPr>
                <w:sz w:val="20"/>
                <w:szCs w:val="20"/>
                <w:color w:val="auto"/>
              </w:rPr>
            </w:pPr>
            <w:r>
              <w:rPr>
                <w:rFonts w:ascii="Times New Roman" w:cs="Times New Roman" w:eastAsia="Times New Roman" w:hAnsi="Times New Roman"/>
                <w:sz w:val="18"/>
                <w:szCs w:val="18"/>
                <w:color w:val="auto"/>
                <w:w w:val="97"/>
              </w:rPr>
              <w:t>101.CAL</w:t>
            </w:r>
          </w:p>
        </w:tc>
        <w:tc>
          <w:tcPr>
            <w:tcW w:w="594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99"/>
        </w:trPr>
        <w:tc>
          <w:tcPr>
            <w:tcW w:w="920" w:type="dxa"/>
            <w:vAlign w:val="bottom"/>
          </w:tcPr>
          <w:p>
            <w:pPr>
              <w:jc w:val="center"/>
              <w:ind w:right="192"/>
              <w:spacing w:after="0" w:line="199" w:lineRule="exact"/>
              <w:rPr>
                <w:sz w:val="20"/>
                <w:szCs w:val="20"/>
                <w:color w:val="auto"/>
              </w:rPr>
            </w:pPr>
            <w:r>
              <w:rPr>
                <w:rFonts w:ascii="Times New Roman" w:cs="Times New Roman" w:eastAsia="Times New Roman" w:hAnsi="Times New Roman"/>
                <w:sz w:val="18"/>
                <w:szCs w:val="18"/>
                <w:color w:val="auto"/>
                <w:w w:val="97"/>
              </w:rPr>
              <w:t>101.DEF</w:t>
            </w:r>
          </w:p>
        </w:tc>
        <w:tc>
          <w:tcPr>
            <w:tcW w:w="594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99"/>
        </w:trPr>
        <w:tc>
          <w:tcPr>
            <w:tcW w:w="920" w:type="dxa"/>
            <w:vAlign w:val="bottom"/>
          </w:tcPr>
          <w:p>
            <w:pPr>
              <w:jc w:val="center"/>
              <w:ind w:right="172"/>
              <w:spacing w:after="0" w:line="199" w:lineRule="exact"/>
              <w:rPr>
                <w:sz w:val="20"/>
                <w:szCs w:val="20"/>
                <w:color w:val="auto"/>
              </w:rPr>
            </w:pPr>
            <w:r>
              <w:rPr>
                <w:rFonts w:ascii="Times New Roman" w:cs="Times New Roman" w:eastAsia="Times New Roman" w:hAnsi="Times New Roman"/>
                <w:sz w:val="18"/>
                <w:szCs w:val="18"/>
                <w:color w:val="auto"/>
                <w:w w:val="97"/>
              </w:rPr>
              <w:t>101.LAB</w:t>
            </w:r>
          </w:p>
        </w:tc>
        <w:tc>
          <w:tcPr>
            <w:tcW w:w="594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99"/>
        </w:trPr>
        <w:tc>
          <w:tcPr>
            <w:tcW w:w="920" w:type="dxa"/>
            <w:vAlign w:val="bottom"/>
          </w:tcPr>
          <w:p>
            <w:pPr>
              <w:jc w:val="center"/>
              <w:ind w:right="192"/>
              <w:spacing w:after="0" w:line="199" w:lineRule="exact"/>
              <w:rPr>
                <w:sz w:val="20"/>
                <w:szCs w:val="20"/>
                <w:color w:val="auto"/>
              </w:rPr>
            </w:pPr>
            <w:r>
              <w:rPr>
                <w:rFonts w:ascii="Times New Roman" w:cs="Times New Roman" w:eastAsia="Times New Roman" w:hAnsi="Times New Roman"/>
                <w:sz w:val="18"/>
                <w:szCs w:val="18"/>
                <w:color w:val="auto"/>
                <w:w w:val="99"/>
              </w:rPr>
              <w:t>101.PRE</w:t>
            </w:r>
          </w:p>
        </w:tc>
        <w:tc>
          <w:tcPr>
            <w:tcW w:w="5940" w:type="dxa"/>
            <w:vAlign w:val="bottom"/>
            <w:gridSpan w:val="10"/>
          </w:tcPr>
          <w:p>
            <w:pPr>
              <w:spacing w:after="0" w:line="19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1"/>
        </w:trPr>
        <w:tc>
          <w:tcPr>
            <w:tcW w:w="92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104</w:t>
            </w:r>
          </w:p>
        </w:tc>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00"/>
        <w:spacing w:after="0"/>
        <w:tabs>
          <w:tab w:leader="none" w:pos="960" w:val="left"/>
          <w:tab w:leader="none" w:pos="166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3/17/2022</w:t>
      </w:r>
      <w:r>
        <w:rPr>
          <w:sz w:val="20"/>
          <w:szCs w:val="20"/>
          <w:color w:val="auto"/>
        </w:rPr>
        <w:tab/>
      </w:r>
      <w:r>
        <w:rPr>
          <w:rFonts w:ascii="Times New Roman" w:cs="Times New Roman" w:eastAsia="Times New Roman" w:hAnsi="Times New Roman"/>
          <w:sz w:val="17"/>
          <w:szCs w:val="17"/>
          <w:color w:val="auto"/>
        </w:rPr>
        <w:t>001-38295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1160" w:val="left"/>
          <w:tab w:leader="none" w:pos="1660" w:val="left"/>
          <w:tab w:leader="none" w:pos="29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97.1</w:t>
        <w:tab/>
        <w:t>3/21/2024</w:t>
      </w:r>
      <w:r>
        <w:rPr>
          <w:sz w:val="20"/>
          <w:szCs w:val="20"/>
          <w:color w:val="auto"/>
        </w:rPr>
        <w:tab/>
      </w:r>
      <w:r>
        <w:rPr>
          <w:rFonts w:ascii="Times New Roman" w:cs="Times New Roman" w:eastAsia="Times New Roman" w:hAnsi="Times New Roman"/>
          <w:sz w:val="17"/>
          <w:szCs w:val="17"/>
          <w:color w:val="auto"/>
        </w:rPr>
        <w:t>001-38295</w:t>
      </w:r>
    </w:p>
    <w:p>
      <w:pPr>
        <w:spacing w:after="0" w:line="1638" w:lineRule="exact"/>
        <w:rPr>
          <w:sz w:val="20"/>
          <w:szCs w:val="20"/>
          <w:color w:val="auto"/>
        </w:rPr>
      </w:pPr>
    </w:p>
    <w:p>
      <w:pPr>
        <w:sectPr>
          <w:pgSz w:w="11900" w:h="16838" w:orient="portrait"/>
          <w:cols w:equalWidth="0" w:num="2">
            <w:col w:w="7000" w:space="200"/>
            <w:col w:w="4040"/>
          </w:cols>
          <w:pgMar w:left="320" w:top="1440" w:right="339" w:bottom="1440" w:gutter="0" w:footer="0" w:header="0"/>
        </w:sectPr>
      </w:pPr>
    </w:p>
    <w:p>
      <w:pPr>
        <w:ind w:left="640" w:hanging="634"/>
        <w:spacing w:after="0"/>
        <w:tabs>
          <w:tab w:leader="none" w:pos="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Filed herewith</w:t>
      </w:r>
    </w:p>
    <w:p>
      <w:pPr>
        <w:spacing w:after="0" w:line="34" w:lineRule="exact"/>
        <w:rPr>
          <w:sz w:val="20"/>
          <w:szCs w:val="20"/>
          <w:color w:val="auto"/>
        </w:rPr>
      </w:pPr>
    </w:p>
    <w:p>
      <w:pPr>
        <w:ind w:left="640" w:hanging="634"/>
        <w:spacing w:after="0" w:line="255" w:lineRule="auto"/>
        <w:tabs>
          <w:tab w:leader="none" w:pos="4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is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74" w:lineRule="exact"/>
        <w:rPr>
          <w:sz w:val="20"/>
          <w:szCs w:val="20"/>
          <w:color w:val="auto"/>
        </w:rPr>
      </w:pPr>
    </w:p>
    <w:p>
      <w:pPr>
        <w:ind w:left="640" w:right="220" w:hanging="634"/>
        <w:spacing w:after="0" w:line="274"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Registrant treats as private or confidential.</w:t>
      </w:r>
    </w:p>
    <w:p>
      <w:pPr>
        <w:spacing w:after="0" w:line="97" w:lineRule="exact"/>
        <w:rPr>
          <w:sz w:val="20"/>
          <w:szCs w:val="20"/>
          <w:color w:val="auto"/>
        </w:rPr>
      </w:pPr>
    </w:p>
    <w:p>
      <w:pPr>
        <w:ind w:left="640" w:right="100" w:hanging="634"/>
        <w:spacing w:after="0" w:line="274" w:lineRule="auto"/>
        <w:tabs>
          <w:tab w:leader="none" w:pos="1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from this Exhibit pursuant to Item 601(a)(5) of Regulation S-K. The Registrant will furnish a copy of any omitted schedule or exhibit to the U.S. Securities and Exchange Commission or its staff upon request.</w:t>
      </w:r>
    </w:p>
    <w:p>
      <w:pPr>
        <w:spacing w:after="0" w:line="5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11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920" w:type="dxa"/>
            <w:vAlign w:val="bottom"/>
          </w:tcPr>
          <w:p>
            <w:pPr>
              <w:spacing w:after="0"/>
              <w:rPr>
                <w:sz w:val="20"/>
                <w:szCs w:val="20"/>
                <w:color w:val="auto"/>
              </w:rPr>
            </w:pPr>
          </w:p>
        </w:tc>
        <w:tc>
          <w:tcPr>
            <w:tcW w:w="730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X4 PHARMACEUTICALS, INC.</w:t>
            </w:r>
          </w:p>
        </w:tc>
      </w:tr>
      <w:tr>
        <w:trPr>
          <w:trHeight w:val="4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2025</w:t>
            </w:r>
          </w:p>
        </w:tc>
        <w:tc>
          <w:tcPr>
            <w:tcW w:w="35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Paula Ragan</w:t>
            </w:r>
          </w:p>
        </w:tc>
      </w:tr>
      <w:tr>
        <w:trPr>
          <w:trHeight w:val="239"/>
        </w:trPr>
        <w:tc>
          <w:tcPr>
            <w:tcW w:w="3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Paula Ragan, Ph.D.</w:t>
            </w:r>
          </w:p>
        </w:tc>
      </w:tr>
      <w:tr>
        <w:trPr>
          <w:trHeight w:val="252"/>
        </w:trPr>
        <w:tc>
          <w:tcPr>
            <w:tcW w:w="39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37"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7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Paula Ragan</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President, Chief Executive Officer and 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Paula Ragan, Ph.D.</w:t>
            </w:r>
          </w:p>
        </w:tc>
        <w:tc>
          <w:tcPr>
            <w:tcW w:w="100" w:type="dxa"/>
            <w:vAlign w:val="bottom"/>
          </w:tcPr>
          <w:p>
            <w:pPr>
              <w:spacing w:after="0"/>
              <w:rPr>
                <w:sz w:val="20"/>
                <w:szCs w:val="20"/>
                <w:color w:val="auto"/>
              </w:rPr>
            </w:pPr>
          </w:p>
        </w:tc>
        <w:tc>
          <w:tcPr>
            <w:tcW w:w="5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c>
          <w:tcPr>
            <w:tcW w:w="2280" w:type="dxa"/>
            <w:vAlign w:val="bottom"/>
          </w:tcPr>
          <w:p>
            <w:pPr>
              <w:spacing w:after="0"/>
              <w:rPr>
                <w:sz w:val="20"/>
                <w:szCs w:val="20"/>
                <w:color w:val="auto"/>
              </w:rPr>
            </w:pPr>
          </w:p>
        </w:tc>
      </w:tr>
      <w:tr>
        <w:trPr>
          <w:trHeight w:val="416"/>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S. Mostafa</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Chief Financial Officer and Treasurer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S. Mostafa</w:t>
            </w:r>
          </w:p>
        </w:tc>
        <w:tc>
          <w:tcPr>
            <w:tcW w:w="100" w:type="dxa"/>
            <w:vAlign w:val="bottom"/>
          </w:tcPr>
          <w:p>
            <w:pPr>
              <w:spacing w:after="0"/>
              <w:rPr>
                <w:sz w:val="20"/>
                <w:szCs w:val="20"/>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 and Principal Accounting Officer)</w:t>
            </w: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 Wyzga</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 Wyzga</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Aliski</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E. Aliski</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J. Bridger</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J. Bridger, Ph.D.</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Francoise De Craecker</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Francoise De Craecker</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Alison Lawton</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Alison F. Lawton</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McGirr</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McGirr</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Murray W. Stewart</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W. Stewart, M.D.</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2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K. Woods</w:t>
            </w:r>
          </w:p>
        </w:tc>
        <w:tc>
          <w:tcPr>
            <w:tcW w:w="100" w:type="dxa"/>
            <w:vAlign w:val="bottom"/>
          </w:tcPr>
          <w:p>
            <w:pPr>
              <w:spacing w:after="0"/>
              <w:rPr>
                <w:sz w:val="24"/>
                <w:szCs w:val="24"/>
                <w:color w:val="auto"/>
              </w:rPr>
            </w:pPr>
          </w:p>
        </w:tc>
        <w:tc>
          <w:tcPr>
            <w:tcW w:w="5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7"/>
              </w:rPr>
              <w:t>March 25, 2025</w:t>
            </w: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K. Woods</w:t>
            </w:r>
          </w:p>
        </w:tc>
        <w:tc>
          <w:tcPr>
            <w:tcW w:w="1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36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6"/>
        </w:trPr>
        <w:tc>
          <w:tcPr>
            <w:tcW w:w="10360" w:type="dxa"/>
            <w:vAlign w:val="bottom"/>
            <w:vMerge w:val="continue"/>
          </w:tcPr>
          <w:p>
            <w:pPr>
              <w:spacing w:after="0"/>
              <w:rPr>
                <w:sz w:val="17"/>
                <w:szCs w:val="17"/>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25"/>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25"/>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25"/>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25"/>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3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84" w:name="page85"/>
    <w:bookmarkEnd w:id="84"/>
    <w:p>
      <w:pPr>
        <w:ind w:left="330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X4 Pharmaceuticals,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02"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X4 Pharmaceuticals, Inc. and its subsidiaries (the “Company”) as of December 31, 2024 and 2023, and the related consolidated statements of operations and comprehensive loss, of stockholders’ equity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since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02"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0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Research and Development Costs</w:t>
      </w:r>
    </w:p>
    <w:p>
      <w:pPr>
        <w:spacing w:after="0" w:line="1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costs associated with internal research and development and external research and development services, including drug development and preclinical studies, are expensed as incurred. The Company’s research and development expense for the year ended December 31, 2024 was $81.6 million, a portion of which relates to external research and development costs. Management recognizes external research and development costs based on an evaluation of the progress to completion of specific tasks using information provided to the Company by its service providers. As disclosed by management, this process involves reviewing open contracts and purchase orders, communicating with applicable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85" w:name="page86"/>
    <w:bookmarkEnd w:id="85"/>
    <w:p>
      <w:pPr>
        <w:spacing w:after="0" w:line="274" w:lineRule="auto"/>
        <w:rPr>
          <w:sz w:val="20"/>
          <w:szCs w:val="20"/>
          <w:color w:val="auto"/>
        </w:rPr>
      </w:pPr>
      <w:r>
        <w:rPr>
          <w:rFonts w:ascii="Times New Roman" w:cs="Times New Roman" w:eastAsia="Times New Roman" w:hAnsi="Times New Roman"/>
          <w:sz w:val="18"/>
          <w:szCs w:val="18"/>
          <w:color w:val="auto"/>
        </w:rPr>
        <w:t>personnel to identify services that have been performed, and estimating the level of service performed and the associated cost incurred for the service when the Company has not yet been invoiced or otherwise notified of actual costs.</w:t>
      </w:r>
    </w:p>
    <w:p>
      <w:pPr>
        <w:spacing w:after="0" w:line="19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which included tracing relevant information to the underlying contract research organization and contract manufacturing organization agreements, purchase orders, invoices received, and information received from certain third party service providers, where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25, 2025</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6" w:name="page87"/>
    <w:bookmarkEnd w:id="86"/>
    <w:p>
      <w:pPr>
        <w:ind w:left="470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7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1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55,699</w:t>
            </w:r>
          </w:p>
        </w:tc>
        <w:tc>
          <w:tcPr>
            <w:tcW w:w="8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46,361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incentive receivable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36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7"/>
                <w:szCs w:val="17"/>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112,175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122,076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36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146,447</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147,258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73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8,621</w:t>
            </w:r>
          </w:p>
        </w:tc>
        <w:tc>
          <w:tcPr>
            <w:tcW w:w="8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1,251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36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32,877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accretion, net of discount</w:t>
            </w:r>
          </w:p>
        </w:tc>
        <w:tc>
          <w:tcPr>
            <w:tcW w:w="30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75,425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(Note 5)</w:t>
            </w:r>
          </w:p>
        </w:tc>
        <w:tc>
          <w:tcPr>
            <w:tcW w:w="30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13,755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36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7"/>
                <w:szCs w:val="17"/>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124,298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96,159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73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 shares issued and outstanding</w:t>
            </w:r>
          </w:p>
        </w:tc>
        <w:tc>
          <w:tcPr>
            <w:tcW w:w="3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 of December 31, 2024 and December 31, 2023, respectively</w:t>
            </w:r>
          </w:p>
        </w:tc>
        <w:tc>
          <w:tcPr>
            <w:tcW w:w="3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73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Common stock, $0.001 par value. 500,000,000 shares authorized as of December 31, 2024 and</w:t>
            </w:r>
          </w:p>
        </w:tc>
        <w:tc>
          <w:tcPr>
            <w:tcW w:w="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73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December 31, 2023, respectively; 170,946,943 and 167,434,595 shares issued and outstanding as</w:t>
            </w: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December 31, 2024 and December 31, 2023, respectively</w:t>
            </w:r>
          </w:p>
        </w:tc>
        <w:tc>
          <w:tcPr>
            <w:tcW w:w="300" w:type="dxa"/>
            <w:vAlign w:val="bottom"/>
          </w:tcPr>
          <w:p>
            <w:pPr>
              <w:spacing w:after="0"/>
              <w:rPr>
                <w:sz w:val="20"/>
                <w:szCs w:val="20"/>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537,455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528,956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7360" w:type="dxa"/>
            <w:vAlign w:val="bottom"/>
            <w:tcBorders>
              <w:bottom w:val="single" w:sz="8" w:color="CCEEFF"/>
            </w:tcBorders>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22,149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51,099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320"/>
              <w:spacing w:after="0" w:line="205"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146,447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40" w:type="dxa"/>
            <w:vAlign w:val="bottom"/>
          </w:tcPr>
          <w:p>
            <w:pPr>
              <w:spacing w:after="0"/>
              <w:rPr>
                <w:sz w:val="17"/>
                <w:szCs w:val="17"/>
                <w:color w:val="auto"/>
              </w:rPr>
            </w:pPr>
          </w:p>
        </w:tc>
        <w:tc>
          <w:tcPr>
            <w:tcW w:w="9240" w:type="dxa"/>
            <w:vAlign w:val="bottom"/>
            <w:gridSpan w:val="3"/>
          </w:tcPr>
          <w:p>
            <w:pPr>
              <w:ind w:left="24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4"/>
        </w:trPr>
        <w:tc>
          <w:tcPr>
            <w:tcW w:w="140" w:type="dxa"/>
            <w:vAlign w:val="bottom"/>
          </w:tcPr>
          <w:p>
            <w:pPr>
              <w:spacing w:after="0"/>
              <w:rPr>
                <w:sz w:val="24"/>
                <w:szCs w:val="24"/>
                <w:color w:val="auto"/>
              </w:rPr>
            </w:pPr>
          </w:p>
        </w:tc>
        <w:tc>
          <w:tcPr>
            <w:tcW w:w="73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F-4</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61,058</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27,020</w:t>
            </w:r>
          </w:p>
        </w:tc>
        <w:tc>
          <w:tcPr>
            <w:tcW w:w="0" w:type="dxa"/>
            <w:vAlign w:val="bottom"/>
          </w:tcPr>
          <w:p>
            <w:pPr>
              <w:spacing w:after="0"/>
              <w:rPr>
                <w:sz w:val="1"/>
                <w:szCs w:val="1"/>
                <w:color w:val="auto"/>
              </w:rPr>
            </w:pPr>
          </w:p>
        </w:tc>
      </w:tr>
      <w:tr>
        <w:trPr>
          <w:trHeight w:val="225"/>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non-financial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05"/>
        </w:trPr>
        <w:tc>
          <w:tcPr>
            <w:tcW w:w="7100" w:type="dxa"/>
            <w:vAlign w:val="bottom"/>
            <w:tcBorders>
              <w:top w:val="single" w:sz="8" w:color="CCEEFF"/>
            </w:tcBorders>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38,958</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87,569</w:t>
            </w:r>
          </w:p>
        </w:tc>
        <w:tc>
          <w:tcPr>
            <w:tcW w:w="0" w:type="dxa"/>
            <w:vAlign w:val="bottom"/>
          </w:tcPr>
          <w:p>
            <w:pPr>
              <w:spacing w:after="0"/>
              <w:rPr>
                <w:sz w:val="1"/>
                <w:szCs w:val="1"/>
                <w:color w:val="auto"/>
              </w:rPr>
            </w:pPr>
          </w:p>
        </w:tc>
      </w:tr>
      <w:tr>
        <w:trPr>
          <w:trHeight w:val="205"/>
        </w:trPr>
        <w:tc>
          <w:tcPr>
            <w:tcW w:w="7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(87,569)</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0" w:type="dxa"/>
            <w:vAlign w:val="bottom"/>
          </w:tcPr>
          <w:p>
            <w:pPr>
              <w:spacing w:after="0"/>
              <w:rPr>
                <w:sz w:val="1"/>
                <w:szCs w:val="1"/>
                <w:color w:val="auto"/>
              </w:rPr>
            </w:pPr>
          </w:p>
        </w:tc>
      </w:tr>
      <w:tr>
        <w:trPr>
          <w:trHeight w:val="225"/>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and derivative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0" w:type="dxa"/>
            <w:vAlign w:val="bottom"/>
          </w:tcPr>
          <w:p>
            <w:pPr>
              <w:spacing w:after="0"/>
              <w:rPr>
                <w:sz w:val="1"/>
                <w:szCs w:val="1"/>
                <w:color w:val="auto"/>
              </w:rPr>
            </w:pPr>
          </w:p>
        </w:tc>
      </w:tr>
      <w:tr>
        <w:trPr>
          <w:trHeight w:val="205"/>
        </w:trPr>
        <w:tc>
          <w:tcPr>
            <w:tcW w:w="7100" w:type="dxa"/>
            <w:vAlign w:val="bottom"/>
            <w:tcBorders>
              <w:bottom w:val="single" w:sz="8" w:color="CCEEFF"/>
            </w:tcBorders>
          </w:tcPr>
          <w:p>
            <w:pPr>
              <w:ind w:left="340"/>
              <w:spacing w:after="0" w:line="205"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(6,270)</w:t>
            </w: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(93,839)</w:t>
            </w:r>
          </w:p>
        </w:tc>
        <w:tc>
          <w:tcPr>
            <w:tcW w:w="0" w:type="dxa"/>
            <w:vAlign w:val="bottom"/>
          </w:tcPr>
          <w:p>
            <w:pPr>
              <w:spacing w:after="0"/>
              <w:rPr>
                <w:sz w:val="1"/>
                <w:szCs w:val="1"/>
                <w:color w:val="auto"/>
              </w:rPr>
            </w:pPr>
          </w:p>
        </w:tc>
      </w:tr>
      <w:tr>
        <w:trPr>
          <w:trHeight w:val="225"/>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5"/>
        </w:trPr>
        <w:tc>
          <w:tcPr>
            <w:tcW w:w="71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(93,867)</w:t>
            </w: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dividend on Class B Warrant price reset</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0" w:type="dxa"/>
            <w:vAlign w:val="bottom"/>
          </w:tcPr>
          <w:p>
            <w:pPr>
              <w:spacing w:after="0"/>
              <w:rPr>
                <w:sz w:val="1"/>
                <w:szCs w:val="1"/>
                <w:color w:val="auto"/>
              </w:rPr>
            </w:pPr>
          </w:p>
        </w:tc>
      </w:tr>
      <w:tr>
        <w:trPr>
          <w:trHeight w:val="230"/>
        </w:trPr>
        <w:tc>
          <w:tcPr>
            <w:tcW w:w="710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shares of common stock outstanding—basic and diluted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201,062,211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177,812,480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63,525,845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(93,867)</w:t>
            </w:r>
          </w:p>
        </w:tc>
        <w:tc>
          <w:tcPr>
            <w:tcW w:w="0" w:type="dxa"/>
            <w:vAlign w:val="bottom"/>
          </w:tcPr>
          <w:p>
            <w:pPr>
              <w:spacing w:after="0"/>
              <w:rPr>
                <w:sz w:val="1"/>
                <w:szCs w:val="1"/>
                <w:color w:val="auto"/>
              </w:rPr>
            </w:pPr>
          </w:p>
        </w:tc>
      </w:tr>
      <w:tr>
        <w:trPr>
          <w:trHeight w:val="238"/>
        </w:trPr>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unrealized losses on marketable securities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(93,867)</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391" w:right="35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6"/>
        </w:trPr>
        <w:tc>
          <w:tcPr>
            <w:tcW w:w="4600" w:type="dxa"/>
            <w:vAlign w:val="bottom"/>
          </w:tcPr>
          <w:p>
            <w:pPr>
              <w:spacing w:after="0"/>
              <w:rPr>
                <w:sz w:val="9"/>
                <w:szCs w:val="9"/>
                <w:color w:val="auto"/>
              </w:rPr>
            </w:pPr>
          </w:p>
        </w:tc>
        <w:tc>
          <w:tcPr>
            <w:tcW w:w="142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60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restart"/>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98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66"/>
        </w:trPr>
        <w:tc>
          <w:tcPr>
            <w:tcW w:w="46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80" w:type="dxa"/>
            <w:vAlign w:val="bottom"/>
            <w:gridSpan w:val="3"/>
          </w:tcPr>
          <w:p>
            <w:pPr>
              <w:ind w:left="20"/>
              <w:spacing w:after="0" w:line="67"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00" w:type="dxa"/>
            <w:vAlign w:val="bottom"/>
            <w:gridSpan w:val="3"/>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6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28,127,657</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347,374</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(282,871)</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64,412</w:t>
            </w:r>
          </w:p>
        </w:tc>
        <w:tc>
          <w:tcPr>
            <w:tcW w:w="0" w:type="dxa"/>
            <w:vAlign w:val="bottom"/>
          </w:tcPr>
          <w:p>
            <w:pPr>
              <w:spacing w:after="0"/>
              <w:rPr>
                <w:sz w:val="1"/>
                <w:szCs w:val="1"/>
                <w:color w:val="auto"/>
              </w:rPr>
            </w:pPr>
          </w:p>
        </w:tc>
      </w:tr>
      <w:tr>
        <w:trPr>
          <w:trHeight w:val="116"/>
        </w:trPr>
        <w:tc>
          <w:tcPr>
            <w:tcW w:w="46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warrants and prefunded warrants for the purchase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92,461,988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59,270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59,362</w:t>
            </w:r>
          </w:p>
        </w:tc>
        <w:tc>
          <w:tcPr>
            <w:tcW w:w="0" w:type="dxa"/>
            <w:vAlign w:val="bottom"/>
          </w:tcPr>
          <w:p>
            <w:pPr>
              <w:spacing w:after="0"/>
              <w:rPr>
                <w:sz w:val="1"/>
                <w:szCs w:val="1"/>
                <w:color w:val="auto"/>
              </w:rPr>
            </w:pPr>
          </w:p>
        </w:tc>
      </w:tr>
      <w:tr>
        <w:trPr>
          <w:trHeight w:val="189"/>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common stock, net of issuance costs of $4.7 million</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Vesting of restricted stock units, less shares withheld and retired to satisfy tax</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372,831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0" w:type="dxa"/>
            <w:vAlign w:val="bottom"/>
          </w:tcPr>
          <w:p>
            <w:pPr>
              <w:spacing w:after="0"/>
              <w:rPr>
                <w:sz w:val="1"/>
                <w:szCs w:val="1"/>
                <w:color w:val="auto"/>
              </w:rPr>
            </w:pPr>
          </w:p>
        </w:tc>
      </w:tr>
      <w:tr>
        <w:trPr>
          <w:trHeight w:val="19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obligations</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warrants and prefunded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5,199</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of common stock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203</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Reclassification of warrant liability to equity (Note 13)</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38,754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38,754</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(93,867)</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(93,867)</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121,667,250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450,786</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(376,738)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74,051</w:t>
            </w:r>
          </w:p>
        </w:tc>
        <w:tc>
          <w:tcPr>
            <w:tcW w:w="0" w:type="dxa"/>
            <w:vAlign w:val="bottom"/>
          </w:tcPr>
          <w:p>
            <w:pPr>
              <w:spacing w:after="0"/>
              <w:rPr>
                <w:sz w:val="1"/>
                <w:szCs w:val="1"/>
                <w:color w:val="auto"/>
              </w:rPr>
            </w:pPr>
          </w:p>
        </w:tc>
      </w:tr>
      <w:tr>
        <w:trPr>
          <w:trHeight w:val="116"/>
        </w:trPr>
        <w:tc>
          <w:tcPr>
            <w:tcW w:w="46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common stock, warrants and prefunded warrants for the purchase</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34,521,046</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60,408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60,443</w:t>
            </w:r>
          </w:p>
        </w:tc>
        <w:tc>
          <w:tcPr>
            <w:tcW w:w="0" w:type="dxa"/>
            <w:vAlign w:val="bottom"/>
          </w:tcPr>
          <w:p>
            <w:pPr>
              <w:spacing w:after="0"/>
              <w:rPr>
                <w:sz w:val="1"/>
                <w:szCs w:val="1"/>
                <w:color w:val="auto"/>
              </w:rPr>
            </w:pPr>
          </w:p>
        </w:tc>
      </w:tr>
      <w:tr>
        <w:trPr>
          <w:trHeight w:val="189"/>
        </w:trPr>
        <w:tc>
          <w:tcPr>
            <w:tcW w:w="4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common stock, net of issuance costs of $4.6 million</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Vesting of restricted stock units, less shares withheld and retired to satisfy tax</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3,510,491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obligations</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and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7,477,845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8,805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8,813</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8,687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8,687</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shares of common stock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257,963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272</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(101,167)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(101,167)</w:t>
            </w:r>
          </w:p>
        </w:tc>
        <w:tc>
          <w:tcPr>
            <w:tcW w:w="0" w:type="dxa"/>
            <w:vAlign w:val="bottom"/>
          </w:tcPr>
          <w:p>
            <w:pPr>
              <w:spacing w:after="0"/>
              <w:rPr>
                <w:sz w:val="1"/>
                <w:szCs w:val="1"/>
                <w:color w:val="auto"/>
              </w:rPr>
            </w:pPr>
          </w:p>
        </w:tc>
      </w:tr>
      <w:tr>
        <w:trPr>
          <w:trHeight w:val="18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167,434,595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528,956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(477,905)</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51,099</w:t>
            </w:r>
          </w:p>
        </w:tc>
        <w:tc>
          <w:tcPr>
            <w:tcW w:w="0" w:type="dxa"/>
            <w:vAlign w:val="bottom"/>
          </w:tcPr>
          <w:p>
            <w:pPr>
              <w:spacing w:after="0"/>
              <w:rPr>
                <w:sz w:val="1"/>
                <w:szCs w:val="1"/>
                <w:color w:val="auto"/>
              </w:rPr>
            </w:pPr>
          </w:p>
        </w:tc>
      </w:tr>
      <w:tr>
        <w:trPr>
          <w:trHeight w:val="19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635,542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297</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2,876,806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8,204</w:t>
            </w:r>
          </w:p>
        </w:tc>
        <w:tc>
          <w:tcPr>
            <w:tcW w:w="0" w:type="dxa"/>
            <w:vAlign w:val="bottom"/>
          </w:tcPr>
          <w:p>
            <w:pPr>
              <w:spacing w:after="0"/>
              <w:rPr>
                <w:sz w:val="1"/>
                <w:szCs w:val="1"/>
                <w:color w:val="auto"/>
              </w:rPr>
            </w:pPr>
          </w:p>
        </w:tc>
      </w:tr>
      <w:tr>
        <w:trPr>
          <w:trHeight w:val="19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losses on marketable securities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(37,450)</w:t>
            </w:r>
          </w:p>
        </w:tc>
        <w:tc>
          <w:tcPr>
            <w:tcW w:w="0" w:type="dxa"/>
            <w:vAlign w:val="bottom"/>
          </w:tcPr>
          <w:p>
            <w:pPr>
              <w:spacing w:after="0"/>
              <w:rPr>
                <w:sz w:val="1"/>
                <w:szCs w:val="1"/>
                <w:color w:val="auto"/>
              </w:rPr>
            </w:pPr>
          </w:p>
        </w:tc>
      </w:tr>
      <w:tr>
        <w:trPr>
          <w:trHeight w:val="198"/>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170,946,943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537,455</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(515,355)</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22,149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280" w:type="dxa"/>
            <w:vAlign w:val="bottom"/>
            <w:gridSpan w:val="11"/>
          </w:tcPr>
          <w:p>
            <w:pPr>
              <w:ind w:left="270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tc>
        <w:tc>
          <w:tcPr>
            <w:tcW w:w="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69215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340"/>
          </w:cols>
          <w:pgMar w:left="780" w:top="119" w:right="7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6"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549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(37,450)</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(101,167)</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(93,867)</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91"/>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non-financial asset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91"/>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fair value of warrant and derivative liability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91"/>
        </w:trPr>
        <w:tc>
          <w:tcPr>
            <w:tcW w:w="7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other current assets and research and development incentive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w:t>
            </w:r>
          </w:p>
        </w:tc>
        <w:tc>
          <w:tcPr>
            <w:tcW w:w="0" w:type="dxa"/>
            <w:vAlign w:val="bottom"/>
          </w:tcPr>
          <w:p>
            <w:pPr>
              <w:spacing w:after="0"/>
              <w:rPr>
                <w:sz w:val="1"/>
                <w:szCs w:val="1"/>
                <w:color w:val="auto"/>
              </w:rPr>
            </w:pPr>
          </w:p>
        </w:tc>
      </w:tr>
      <w:tr>
        <w:trPr>
          <w:trHeight w:val="191"/>
        </w:trPr>
        <w:tc>
          <w:tcPr>
            <w:tcW w:w="72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long-term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85"/>
        </w:trPr>
        <w:tc>
          <w:tcPr>
            <w:tcW w:w="7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(130,901)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(96,512)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(77,102)</w:t>
            </w:r>
          </w:p>
        </w:tc>
        <w:tc>
          <w:tcPr>
            <w:tcW w:w="0" w:type="dxa"/>
            <w:vAlign w:val="bottom"/>
          </w:tcPr>
          <w:p>
            <w:pPr>
              <w:spacing w:after="0"/>
              <w:rPr>
                <w:sz w:val="1"/>
                <w:szCs w:val="1"/>
                <w:color w:val="auto"/>
              </w:rPr>
            </w:pPr>
          </w:p>
        </w:tc>
      </w:tr>
      <w:tr>
        <w:trPr>
          <w:trHeight w:val="18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intangible asset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non-financial asset</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26,450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66,990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7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2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Proceeds from exercise of stock options, warrants and pre-funded warrants and issuance of shares of common stock under</w:t>
            </w: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5"/>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plans</w:t>
            </w: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722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costs for amendments to loan and security agreement and for the sale of warrants accounted for as a liability (Note</w:t>
            </w:r>
          </w:p>
        </w:tc>
        <w:tc>
          <w:tcPr>
            <w:tcW w:w="3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0" w:type="dxa"/>
            <w:vAlign w:val="bottom"/>
          </w:tcPr>
          <w:p>
            <w:pPr>
              <w:spacing w:after="0"/>
              <w:rPr>
                <w:sz w:val="1"/>
                <w:szCs w:val="1"/>
                <w:color w:val="auto"/>
              </w:rPr>
            </w:pPr>
          </w:p>
        </w:tc>
      </w:tr>
      <w:tr>
        <w:trPr>
          <w:trHeight w:val="189"/>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taxes paid related to net share settlement of vested restricted stock units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borrowings under loan and security agreements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borrowings under loan and security agreement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9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shares of common stock, warrants and pre-funded warrants, net of issuance costs</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122,631</w:t>
            </w:r>
          </w:p>
        </w:tc>
        <w:tc>
          <w:tcPr>
            <w:tcW w:w="0" w:type="dxa"/>
            <w:vAlign w:val="bottom"/>
          </w:tcPr>
          <w:p>
            <w:pPr>
              <w:spacing w:after="0"/>
              <w:rPr>
                <w:sz w:val="1"/>
                <w:szCs w:val="1"/>
                <w:color w:val="auto"/>
              </w:rPr>
            </w:pPr>
          </w:p>
        </w:tc>
      </w:tr>
      <w:tr>
        <w:trPr>
          <w:trHeight w:val="199"/>
        </w:trPr>
        <w:tc>
          <w:tcPr>
            <w:tcW w:w="7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88,516</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117,230</w:t>
            </w:r>
          </w:p>
        </w:tc>
        <w:tc>
          <w:tcPr>
            <w:tcW w:w="0" w:type="dxa"/>
            <w:vAlign w:val="bottom"/>
          </w:tcPr>
          <w:p>
            <w:pPr>
              <w:spacing w:after="0"/>
              <w:rPr>
                <w:sz w:val="1"/>
                <w:szCs w:val="1"/>
                <w:color w:val="auto"/>
              </w:rPr>
            </w:pPr>
          </w:p>
        </w:tc>
      </w:tr>
      <w:tr>
        <w:trPr>
          <w:trHeight w:val="185"/>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39,920</w:t>
            </w:r>
          </w:p>
        </w:tc>
        <w:tc>
          <w:tcPr>
            <w:tcW w:w="0" w:type="dxa"/>
            <w:vAlign w:val="bottom"/>
          </w:tcPr>
          <w:p>
            <w:pPr>
              <w:spacing w:after="0"/>
              <w:rPr>
                <w:sz w:val="1"/>
                <w:szCs w:val="1"/>
                <w:color w:val="auto"/>
              </w:rPr>
            </w:pPr>
          </w:p>
        </w:tc>
      </w:tr>
      <w:tr>
        <w:trPr>
          <w:trHeight w:val="192"/>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100,248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123,028</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83,108</w:t>
            </w:r>
          </w:p>
        </w:tc>
        <w:tc>
          <w:tcPr>
            <w:tcW w:w="0" w:type="dxa"/>
            <w:vAlign w:val="bottom"/>
          </w:tcPr>
          <w:p>
            <w:pPr>
              <w:spacing w:after="0"/>
              <w:rPr>
                <w:sz w:val="1"/>
                <w:szCs w:val="1"/>
                <w:color w:val="auto"/>
              </w:rPr>
            </w:pPr>
          </w:p>
        </w:tc>
      </w:tr>
      <w:tr>
        <w:trPr>
          <w:trHeight w:val="197"/>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100,248</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123,028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w:t>
            </w:r>
          </w:p>
        </w:tc>
        <w:tc>
          <w:tcPr>
            <w:tcW w:w="0" w:type="dxa"/>
            <w:vAlign w:val="bottom"/>
          </w:tcPr>
          <w:p>
            <w:pPr>
              <w:spacing w:after="0"/>
              <w:rPr>
                <w:sz w:val="1"/>
                <w:szCs w:val="1"/>
                <w:color w:val="auto"/>
              </w:rPr>
            </w:pPr>
          </w:p>
        </w:tc>
      </w:tr>
      <w:tr>
        <w:trPr>
          <w:trHeight w:val="192"/>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intangible assets included in accrued expenses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 not yet paid</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THE BUSINESS AND BASIS OF PRESENTATION</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X4 Pharmaceuticals, Inc. (together with its subsidiaries, the “Company”) is a biopharmaceutical company discovering, developing and commercializing novel therapeutics for the treatment of rare diseases and those with limited treatment options, with a focus on conditions resulting from dysfunction of the immune system. On April 29, 2024, the Company announced that the FDA approved the Company’s New Drug Application (“NDA”) for mavorixafor, which is being marketed in the U.S. under the trade name XOLREMDI®, for use as an oral, once-daily therapy in patients 12 years of age and older with WHIM syndrome (warts, hypogammaglobulinemia, infections, and myelokathexis), to increase the number of circulating mature neutrophils and lymphocytes. WHIM syndrome is a rare combined primary immunodeficiency and chronic neutropenic disorder. The Company has launched XOLREMDI in WHIM syndrome in the U.S. and has filed for regulatory approvals to commercialize mavorixafor outside of the U.S. The U.S. approval of XOLREMDI in the WHIM syndrome indication is the first for mavorixafor, which is an orally bioavailable selective antagonist of chemokine receptor CXCR4, a key regulator of the movement of immune cells throughout the body. Due to its ability to increase the mobilization of white blood cells from the bone marrow into the bloodstream, the Company believes that mavorixafor has the potential to provide therapeutic benefit across a variety of immune system disorders in addition to WHIM syndrome. The Company has completed a Phase 2 study evaluating the safety and efficacy of mavorixafor as a monotherapy and in combination with human G-CSF in people with certain chronic neutropenic disorders. Results from this six-month Phase 2 study showed mavorixafor was generally well tolerated and able to durably increase study participants’ mean absolute neutrophil count (“ANC”) both as a monotherapy and in combination with G-CSF. The Company is actively enrolling participants in a global, pivotal Phase 3 clinical trial of mavorixafor (the 4WARD study) that aims to evaluate the efficacy, safety, and tolerability of oral once-daily mavorixafor with or without G-CSF in people with congenital or acquired primary autoimmune and idiopathic chronic neutropenia who are experiencing recurrent and/or serious infections. The Company is headquartered in Boston, Massachusetts and previously had a research facility in Vienna, Austria.</w:t>
      </w:r>
    </w:p>
    <w:p>
      <w:pPr>
        <w:spacing w:after="0" w:line="21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Going Concern Assessment—</w:t>
      </w:r>
      <w:r>
        <w:rPr>
          <w:rFonts w:ascii="Times New Roman" w:cs="Times New Roman" w:eastAsia="Times New Roman" w:hAnsi="Times New Roman"/>
          <w:sz w:val="17"/>
          <w:szCs w:val="17"/>
          <w:color w:val="auto"/>
        </w:rPr>
        <w:t>The Company has evaluated whether there are certain conditions and events, considered in the aggregate, that raise substantial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doubt about the Company’s ability to continue as a going concern within one year after the date that the consolidated financial statements are issued. Although the Company has an approved drug product, sales of the Company’s drug product over the next 12 months will not be sufficient to fund the Company’s</w:t>
      </w:r>
    </w:p>
    <w:p>
      <w:pPr>
        <w:ind w:right="240"/>
        <w:spacing w:after="0" w:line="259" w:lineRule="auto"/>
        <w:rPr>
          <w:sz w:val="20"/>
          <w:szCs w:val="20"/>
          <w:color w:val="auto"/>
        </w:rPr>
      </w:pPr>
      <w:r>
        <w:rPr>
          <w:rFonts w:ascii="Times New Roman" w:cs="Times New Roman" w:eastAsia="Times New Roman" w:hAnsi="Times New Roman"/>
          <w:sz w:val="18"/>
          <w:szCs w:val="18"/>
          <w:color w:val="auto"/>
        </w:rPr>
        <w:t>operating expenses. Since inception, the Company has incurred significant operating losses and negative cash flows from operations. As of December 31, 2024, the Company had $102.1 million of cash, cash equivalents and short-term marketable securities and an accumulated deficit of $515.4 million. For the year ended December 31, 2024, the Company’s net losses were $37.5 million and net cash used in operating activities of $130.9 million.</w:t>
      </w:r>
    </w:p>
    <w:p>
      <w:pPr>
        <w:spacing w:after="0" w:line="20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Company has a covenant (the “Minimum Cash Covenant”) under its Second Amended and Restated Loan and Security Agreement, as amended, (the “Hercules Loan Agreement”) with Hercules Capital Inc. (“Hercules”), that requires that the Company maintain a minimum level of cash of $15 million, which represents 20% of outstanding borrowings under the Hercules Loan Agreement. Based on its current operating plan, which includes estimates of anticipated cash inflows from product sales and cash outflows from operating expenses, the Company believes there is a risk that it will not meet the conditions of the Minimum Cash Covenant within the 12-month period from the issuance date of these consolidated financial statements. In such case, Hercules could accelerate the principal payments on the Company’s outstanding loans and the Company potentially would not have sufficient cash, cash equivalents and short-term marketable securities to settle such obligations. Accordingly, management has concluded that this condition meets the standard for raising substantial doubt about the Company’s ability to continue as a going concern. The Company does not have adequate financial resources to fund its forecasted operating costs for at least one year after the date that these consolidated financial statements are issued. 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14"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To alleviate the risk that the Company violates the Minimum Cash Covenant and to finance its future operations, the Company will need to raise additional capital, which cannot be assured, and/or modify such Minimum Cash Covenant. Unless and until the Company reaches profitability in the future, it will require additional capital to fund its operations, which could be raised through a combination of equity offerings, debt financings, other third-party funding, marketing and distribution arrangements, or other collaborations and strategic alliances. If the Company is unable to obtain funding, it could be forced to delay, reduce, or eliminate some or all of its research and development programs, product portfolio expansion or commercialization efforts, which would adversely affect its business prospects, or it may be unable to continue operations.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uncertainties relating to conducting preclinical and clinical research and development, the manufacture and supply of products and product candidates for clinical and commercial use, obtaining and maintaining regulatory approvals and pricing and reimbursement for the Company’s products and product candidates, market acceptance, managing global growth and operating expenses, availability of additional capital, competition, obtaining and enforcing patents, stock price volatility, dependence on collaborative relationships and third-party service providers, dependence on key personnel, and from time to time government investigations, litigation, and potential product liability claims.</w:t>
      </w:r>
    </w:p>
    <w:p>
      <w:pPr>
        <w:spacing w:after="0" w:line="208"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its wholly-owned subsidiaries, including X4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(Austria) GmbH (“X4 Austria”), which is incorporated in Vienna, Austria, and X4 Therapeutics, Inc. All intercompany accounts and transactions have been eliminated.</w:t>
      </w:r>
    </w:p>
    <w:p>
      <w:pPr>
        <w:spacing w:after="0" w:line="200" w:lineRule="exact"/>
        <w:rPr>
          <w:sz w:val="20"/>
          <w:szCs w:val="20"/>
          <w:color w:val="auto"/>
        </w:rPr>
      </w:pPr>
    </w:p>
    <w:p>
      <w:pPr>
        <w:spacing w:after="0" w:line="3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4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the Company’s consolidated financial statements in conformity with U.S. Generally Accepted Accounting Principles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research and development expenses and the impairment or lack of impairment of long-lived assets including operating lease right-of-use assets and goodwill.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As of the date of issuance of these consolidated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consolidated financial statements.</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and Currency Translation— </w:t>
      </w:r>
      <w:r>
        <w:rPr>
          <w:rFonts w:ascii="Times New Roman" w:cs="Times New Roman" w:eastAsia="Times New Roman" w:hAnsi="Times New Roman"/>
          <w:sz w:val="18"/>
          <w:szCs w:val="18"/>
          <w:color w:val="auto"/>
        </w:rPr>
        <w:t>The functional and reporting currency of the Company and its foreign subsidiary, X4 Austria, is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 Monetary assets and liabilities denominated in a currency other than the U.S. dollar are re-measured into U.S. dollars at the exchange rate prevailing as of the balance sheet date. Non-monetary assets and liabilities acquired in a currency other than U.S. dollars are measured at historical exchange rates prevailing at each transaction date. Exchange gains and losses on translation are included in the consolidated statements of operations and comprehensive loss in other income (expense), net.</w:t>
      </w:r>
    </w:p>
    <w:p>
      <w:pPr>
        <w:spacing w:after="0" w:line="20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and Significant Suppliers— </w:t>
      </w:r>
      <w:r>
        <w:rPr>
          <w:rFonts w:ascii="Times New Roman" w:cs="Times New Roman" w:eastAsia="Times New Roman" w:hAnsi="Times New Roman"/>
          <w:sz w:val="18"/>
          <w:szCs w:val="18"/>
          <w:color w:val="auto"/>
        </w:rPr>
        <w:t>Financial instruments that potentially subject the Company to concentrations of credit risk consist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principally of cash and cash equivalents, marketable securities and research and development incentive receivables. The Company generally maintains cash balances in various operating accounts at financial institutions that management believes to be of high credit quality in amounts that may exceed federally insured limits. The Company’s marketable securities and cash equivalents are invested in high quality, U.S. government obligations such as U.S. Treasury bills and U.S. government agency obligations. The Company has not experienced losses related to its cash and cash equivalents.</w:t>
      </w:r>
    </w:p>
    <w:p>
      <w:pPr>
        <w:spacing w:after="0" w:line="19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its drug substance and clinical and commercial drug supply for research and development activities in its programs and for commercial sale. The Company relies and expects to continue to rely on a small number of manufacturers to supply it the active pharmaceutical ingredient and formulated drugs related to its commercial drug supply and for its development these programs. The Company’s sales and these programs could be adversely affected by a significant interruption in these manufacturing services or in the supply of active pharmaceutical ingredients and formulated drugs.</w:t>
      </w:r>
    </w:p>
    <w:p>
      <w:pPr>
        <w:spacing w:after="0" w:line="18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 considers all highly liquid investments with maturities of 90 days or less at the date of purchase to be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Cash equivalents consisted of money market funds, treasury bills and federal government agency notes as of December 31, 2024 and December 31, 2023.</w:t>
      </w:r>
    </w:p>
    <w:p>
      <w:pPr>
        <w:spacing w:after="0" w:line="170"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Marketable securities consist of short-term debt securities classified as available-for-sale having maturities greater than 90 days,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less than 365 days from the date of acquisition (settlement). The Company determines the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appropriate classification of the securities at the time they are acquired and evaluate the appropriateness of such classifications at each balance sheet date. The Company’s marketable securities, which consist of U.S. Treasury securities and federal government agency notes, are classified as available-for-sale securities whose fair value is categorized as Level 2 as their value is based on valuations using significant inputs derived from, or corroborated by, observable market data. The cost of available-for-sale securities sold is based on the specific-identification method. Unrealized gain and losses on available-for-sale are included as a component of other comprehensive loss on the consolidated balance sheet and as a component of total comprehensive loss on the consolidated statement of operations and comprehensive loss until realized. Realized gains and losses on the sale of marketable securities are determined using the specific-identification method and recorded in other (expense) income, net on the accompanying consolidated statements of operations and comprehensive loss. The Company reviews marketable securities for impairment whenever the fair value of a marketable security is less than the amortized cost and evidence indicates that a marketable security’s carrying amount is not recoverable. Unrealized losses are evaluated for impairment under ASC 326, </w:t>
      </w:r>
      <w:r>
        <w:rPr>
          <w:rFonts w:ascii="Times New Roman" w:cs="Times New Roman" w:eastAsia="Times New Roman" w:hAnsi="Times New Roman"/>
          <w:sz w:val="17"/>
          <w:szCs w:val="17"/>
          <w:i w:val="1"/>
          <w:iCs w:val="1"/>
          <w:color w:val="auto"/>
        </w:rPr>
        <w:t>Financial Instruments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Losses</w:t>
      </w:r>
      <w:r>
        <w:rPr>
          <w:rFonts w:ascii="Times New Roman" w:cs="Times New Roman" w:eastAsia="Times New Roman" w:hAnsi="Times New Roman"/>
          <w:sz w:val="17"/>
          <w:szCs w:val="17"/>
          <w:color w:val="auto"/>
        </w:rPr>
        <w:t>, to determine if the impairment is credit-related or noncredit-related. Credit-related impairment is recognized as an allowance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balance sheets with a corresponding adjustment to earnings, and noncredit-related impairment is recognized in other comprehensive loss, net of taxes. Evidence considered in this assessment includes reasons for the impairment, compliance with our investment policy, the severity of the impairment, collectability of the security, and any adverse conditions specifically related to the security, an industry, or geographic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34290</wp:posOffset>
            </wp:positionV>
            <wp:extent cx="21285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24"/>
        </w:trPr>
        <w:tc>
          <w:tcPr>
            <w:tcW w:w="7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of credit security: Vienna Austria lease</w:t>
            </w:r>
          </w:p>
        </w:tc>
        <w:tc>
          <w:tcPr>
            <w:tcW w:w="7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5"/>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Letter of credit security: Boston and previous headquarter lease</w:t>
            </w:r>
          </w:p>
        </w:tc>
        <w:tc>
          <w:tcPr>
            <w:tcW w:w="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60" w:type="dxa"/>
            <w:vAlign w:val="bottom"/>
            <w:vMerge w:val="continue"/>
          </w:tcPr>
          <w:p>
            <w:pPr>
              <w:spacing w:after="0"/>
              <w:rPr>
                <w:sz w:val="17"/>
                <w:szCs w:val="17"/>
                <w:color w:val="auto"/>
              </w:rPr>
            </w:pPr>
          </w:p>
        </w:tc>
        <w:tc>
          <w:tcPr>
            <w:tcW w:w="700" w:type="dxa"/>
            <w:vAlign w:val="bottom"/>
          </w:tcPr>
          <w:p>
            <w:pPr>
              <w:jc w:val="right"/>
              <w:ind w:right="496"/>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20" w:type="dxa"/>
            <w:vAlign w:val="bottom"/>
          </w:tcPr>
          <w:p>
            <w:pPr>
              <w:jc w:val="right"/>
              <w:ind w:right="436"/>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70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Company’s lease agreement for its facilities in Massachusetts and Austria, the Company maintains letters of credit, which are secured by restricted cash, for the benefit of the respective landlord. In accordance with the Company’s Hercules Loan Agreement and as further described in Note 10, the Company at all times must maintain a minimum level of cash of $20.0 million, and effective January 31, 2025 $15.0 million, representing 20% of its outstanding borrowings, in an account or accounts in which Hercules has a first priority security interest as further described in Note 10.</w:t>
      </w:r>
    </w:p>
    <w:p>
      <w:pPr>
        <w:spacing w:after="0" w:line="18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sum to the total of amounts shown in the Company’s consolidated statements of cash flows as of December 31, 2024, 2023 and 2022:</w:t>
      </w:r>
    </w:p>
    <w:tbl>
      <w:tblPr>
        <w:tblLayout w:type="fixed"/>
        <w:tblInd w:w="0" w:type="dxa"/>
        <w:tblCellMar>
          <w:top w:w="0" w:type="dxa"/>
          <w:left w:w="0" w:type="dxa"/>
          <w:bottom w:w="0" w:type="dxa"/>
          <w:right w:w="0" w:type="dxa"/>
        </w:tblCellMar>
      </w:tblPr>
      <w:tr>
        <w:trPr>
          <w:trHeight w:val="127"/>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238"/>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8"/>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121,718</w:t>
            </w:r>
          </w:p>
        </w:tc>
        <w:tc>
          <w:tcPr>
            <w:tcW w:w="0" w:type="dxa"/>
            <w:vAlign w:val="bottom"/>
          </w:tcPr>
          <w:p>
            <w:pPr>
              <w:spacing w:after="0"/>
              <w:rPr>
                <w:sz w:val="1"/>
                <w:szCs w:val="1"/>
                <w:color w:val="auto"/>
              </w:rPr>
            </w:pPr>
          </w:p>
        </w:tc>
      </w:tr>
      <w:tr>
        <w:trPr>
          <w:trHeight w:val="22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 (included within prepaid expenses and other current assets)</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 (included within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1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123,028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w:t>
      </w:r>
      <w:r>
        <w:rPr>
          <w:rFonts w:ascii="Times New Roman" w:cs="Times New Roman" w:eastAsia="Times New Roman" w:hAnsi="Times New Roman"/>
          <w:sz w:val="18"/>
          <w:szCs w:val="18"/>
          <w:color w:val="auto"/>
        </w:rPr>
        <w:t>— Accounts receivable consists of amounts due from customers, net of expected credit losses. The Company’s measurement of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losses is based on relevant information about past events, including historical experience, current conditions, and reasonable and supportable forecasts that affect the collectability of the reported amount. To date, the Company has not experienced any credit losses from its customers. The Company’s contracts with its customers have customary payment terms that generally require payment within 90 days. The Company analyzes amounts that are past due for collectability, and periodically evaluates the creditworthiness of its customers. At December 31, 2024, the Company determined an allowance for credit losses was not required based on the deemed credit worthiness of its customers.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Inventory— </w:t>
      </w:r>
      <w:r>
        <w:rPr>
          <w:rFonts w:ascii="Times New Roman" w:cs="Times New Roman" w:eastAsia="Times New Roman" w:hAnsi="Times New Roman"/>
          <w:sz w:val="17"/>
          <w:szCs w:val="17"/>
          <w:color w:val="auto"/>
        </w:rPr>
        <w:t>Prior to receiving approval from the FDA in April 2024 to sell XOLREMDI (mavorixafor) in the United States,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expensed all costs incurred related to the manufacture of mavorixafor as research and development expense due to the inherent risks associated with the development of a drug candidate, the uncertainty about the regulatory approval process and the lack of history for the Company in obtaining of regulatory approval of drug candidates. The Company has capitalized inventory-related costs that have been incurred subsequent to FDA approval, such as the bottling, labelling, and packaging of drug product, and the acquisition of raw materials for the production of drug substance to be used in commercial drug product.</w:t>
      </w:r>
    </w:p>
    <w:p>
      <w:pPr>
        <w:spacing w:after="0" w:line="195" w:lineRule="exact"/>
        <w:rPr>
          <w:sz w:val="20"/>
          <w:szCs w:val="20"/>
          <w:color w:val="auto"/>
        </w:rPr>
      </w:pPr>
    </w:p>
    <w:p>
      <w:pPr>
        <w:ind w:right="2340"/>
        <w:spacing w:after="0" w:line="249" w:lineRule="auto"/>
        <w:rPr>
          <w:sz w:val="20"/>
          <w:szCs w:val="20"/>
          <w:color w:val="auto"/>
        </w:rPr>
      </w:pPr>
      <w:r>
        <w:rPr>
          <w:rFonts w:ascii="Times New Roman" w:cs="Times New Roman" w:eastAsia="Times New Roman" w:hAnsi="Times New Roman"/>
          <w:sz w:val="18"/>
          <w:szCs w:val="18"/>
          <w:color w:val="auto"/>
        </w:rPr>
        <w:t>In connection therewith, the Company values inventories at the lower of cost or estimated net realizable value. The Company determines the cost of inventories on a first-in, first-out (“FIFO”) basis. Raw materials and work in process include all inventory costs prior to packaging, and labelling, including raw materials and the active pharmaceutical ingredient used in the drug product. Finished goods include packaged and labelled drug products designated for commercial distribution. Clinical drug supplies are expensed to research and development. Raw materials and work in process that may be used for either research and development or commercial sale are classified as inventory until the material is consumed or otherwise allocated for research and development. If the material may only be used for research and development, it is expensed as research and development.</w:t>
      </w:r>
    </w:p>
    <w:p>
      <w:pPr>
        <w:spacing w:after="0" w:line="18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Property and equipment are stated at cost less accumulated depreciation and amortization. Depreciation and amortization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recognized using the straight-line method over the estimated useful life of each asset,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4"/>
        </w:trPr>
        <w:tc>
          <w:tcPr>
            <w:tcW w:w="8000" w:type="dxa"/>
            <w:vAlign w:val="bottom"/>
            <w:tcBorders>
              <w:bottom w:val="single" w:sz="8" w:color="CCEEFF"/>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w:t>
            </w: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25"/>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2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10 years</w:t>
            </w:r>
          </w:p>
        </w:tc>
      </w:tr>
      <w:tr>
        <w:trPr>
          <w:trHeight w:val="231"/>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Shorter of lease term or 10 years</w:t>
            </w:r>
          </w:p>
        </w:tc>
      </w:tr>
    </w:tbl>
    <w:p>
      <w:pPr>
        <w:spacing w:after="0" w:line="2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statements of operations and comprehensive loss in the period of disposal. Costs for capital assets not yet placed into service are capitalized as construction-in-progress and depreciated once placed into service.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Right-of-Use Assets and Leases— </w:t>
      </w:r>
      <w:r>
        <w:rPr>
          <w:rFonts w:ascii="Times New Roman" w:cs="Times New Roman" w:eastAsia="Times New Roman" w:hAnsi="Times New Roman"/>
          <w:sz w:val="17"/>
          <w:szCs w:val="17"/>
          <w:color w:val="auto"/>
        </w:rPr>
        <w:t>The Company accounts for leases in accordance with Accounting Standards Codification (“ASC”), Topic 842,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(“ASC 842”). Under ASC 842, at the inception of an arrangement, the Company determines whether the arrangement contains a lease based on the unique facts and circumstances present. Leases with a non-cancellable term greater than one year are recognized on the balance sheet as right-of-use assets with associated current and non-current lease liabilities. The Company has elected not to recognize on the balance sheet leases with terms of one year or less. Options to renew a lease are not included in the Company’s initial lease term assessment unless there is reasonable certainty that the Company will renew the lease. If a lease is cancellable without penalty, the Company excludes from the lease term periods following the cancellation notice period unless it is reasonably certain that the Company will not cancel the lease. As the Company’s leases do not provide an implicit rate, the Company estimates the incremental borrowing rate in calculating the present value of the lease payments. The Company utilizes its incremental borrowing rates, which are the rates incurred to borrow on a collateralized basis over a similar term and amount equal to the lease payments in a similar economic environment.</w:t>
      </w:r>
    </w:p>
    <w:p>
      <w:pPr>
        <w:spacing w:after="0" w:line="20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recorded based on the present value of lease payments over the expected remaining lease term. Certain adjustments to the right-of-use operating asset may be required for items such as incentives received or accrued rent. The interest rate implicit in lease contracts is typically not readily determinable. As a result, the Company utilizes its incremental borrowing rates, which are the rates it incurs to borrow on a collateralized basis over a similar term an amount equal to the lease payments in a similar economic environment. The Company referenced the effective rate of its Hercules Loan Agreement, as adjusted for differences terms, to determine its incremental borrowing rate for each of its operating leases at lease inception.</w:t>
      </w:r>
    </w:p>
    <w:p>
      <w:pPr>
        <w:spacing w:after="0" w:line="18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In accordance with the guidance in ASC 842, components of a lease are split into lease components and non-lease components. Pursuant to a policy election, the Company has elected to account for the lease and non-lease components as a combined lease component.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Long-lived assets consist of property and equipment, operating lease right-of-use assets and definite-lived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loss from operations when estimated undiscounted future cash flows expected to result from the use of an asset group are less than its carrying amount. The impairment loss would be based on the excess of the carrying value of the impaired asset group over its fair value. To date, the Company has not recorded any material impairment losses on long-lived assets.</w:t>
      </w:r>
    </w:p>
    <w:p>
      <w:pPr>
        <w:spacing w:after="0" w:line="18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w:t>
      </w:r>
      <w:r>
        <w:rPr>
          <w:rFonts w:ascii="Times New Roman" w:cs="Times New Roman" w:eastAsia="Times New Roman" w:hAnsi="Times New Roman"/>
          <w:sz w:val="17"/>
          <w:szCs w:val="17"/>
          <w:color w:val="auto"/>
        </w:rPr>
        <w:t>Business combinations are accounted for under the acquisition method. The total purchase price of an acquisition is allocated to the underlying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identifiable net assets, based on their respective estimated fair values as of the acquisition date. Determining the fair value of assets acquired and liabilities assumed requires management’s judgment and often involves the use of significant estimates and assumptions, including assumptions with respect to future cash inflows and outflows, probabilities of success, discount rates, and asset lives, among other items. Assets acquired and liabilities assumed are recorded at their estimated fair values. The excess of the purchase price over the estimated fair values of the net assets acquired is recorded as goodwill.</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Goodwill is tested quantitatively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a significant decline in the price of the Company’s common stock, or unanticipated competition.</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has determined that it operates in a single operating segment and has a single reporting unit. To perform its quantitative test, the Company compares the fair value of the reporting unit to its carrying value. If the fair value of the reporting unit exceeds the carrying value of its net assets, goodwill is not impaired, and no further testing is required. If the fair value of the reporting unit is less than the carrying value, the Company measures the amount of impairment loss, if any, as the excess of the carrying value over the fair value of the reporting unit. See Note 5 for more information on the Company’s goodwill impairment tests as of December 31, 2024, 2023 and 2022.</w:t>
      </w:r>
    </w:p>
    <w:p>
      <w:pPr>
        <w:spacing w:after="0" w:line="1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Intangible Assets, Net</w:t>
      </w:r>
      <w:r>
        <w:rPr>
          <w:rFonts w:ascii="Times New Roman" w:cs="Times New Roman" w:eastAsia="Times New Roman" w:hAnsi="Times New Roman"/>
          <w:sz w:val="18"/>
          <w:szCs w:val="18"/>
          <w:color w:val="auto"/>
        </w:rPr>
        <w:t>— Definite-lived intangible assets related to capitalized milestones under license agreements are amortized on a straight-line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aligns with the pattern over which the economic benefit of the intangible assets are consumed, over their remaining useful lives, which are estimated to be the remaining patent life. If the Company’s estimate of the product’s useful life is shorter than the remaining patent life, then a shorter period is used. Amortization expense is recorded as a component of cost of revenue on the consolidated statements of operations and comprehensive loss.</w:t>
      </w:r>
    </w:p>
    <w:p>
      <w:pPr>
        <w:spacing w:after="0" w:line="1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Certain assets and liabilities of the Company are carried at fair value under GAAP. Fair value is defined as the exchange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600" w:hanging="322"/>
        <w:spacing w:after="0"/>
        <w:tabs>
          <w:tab w:leader="none" w:pos="16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1" w:lineRule="exact"/>
        <w:rPr>
          <w:rFonts w:ascii="Times New Roman" w:cs="Times New Roman" w:eastAsia="Times New Roman" w:hAnsi="Times New Roman"/>
          <w:sz w:val="18"/>
          <w:szCs w:val="18"/>
          <w:color w:val="auto"/>
        </w:rPr>
      </w:pPr>
    </w:p>
    <w:p>
      <w:pPr>
        <w:ind w:left="1600" w:right="160" w:hanging="322"/>
        <w:spacing w:after="0" w:line="259" w:lineRule="auto"/>
        <w:tabs>
          <w:tab w:leader="none" w:pos="15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1" w:lineRule="exact"/>
        <w:rPr>
          <w:rFonts w:ascii="Times New Roman" w:cs="Times New Roman" w:eastAsia="Times New Roman" w:hAnsi="Times New Roman"/>
          <w:sz w:val="18"/>
          <w:szCs w:val="18"/>
          <w:color w:val="auto"/>
        </w:rPr>
      </w:pPr>
    </w:p>
    <w:p>
      <w:pPr>
        <w:ind w:left="1600" w:right="160" w:hanging="322"/>
        <w:spacing w:after="0" w:line="274" w:lineRule="auto"/>
        <w:tabs>
          <w:tab w:leader="none" w:pos="15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embedded derivative liability related to the redemption features of the Company’s debt with Hercules as described further below and the Company’s outstanding Class C warrants are carried at fair value and using a Level 3 measurements. The Company’s cash equivalents, which consist of money market funds, which are invested in U.S. Treasury securities and U.S. government agency obligations, are carried at fair value, determined based on Level 1 and Level 2 inputs in the fair value hierarchy described above. The Company’s marketable securities are carried at fair value determined based on Level 2 inputs. The carrying values of the Company’s accounts payable and accrued expenses approximate their fair values due to the short-term nature of these liabilities. The carrying value of the Company’s outstanding loan and security agreement with Hercules approximates its fair value at December 31, 2024 because the debt bears interest at a variable market rate and the Company’s credit risk has not materially changed since the inception of the agreement.</w:t>
      </w:r>
    </w:p>
    <w:p>
      <w:pPr>
        <w:spacing w:after="0" w:line="17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The Company has defined its Chief Operating Decision Maker (“CODM”) as its Chief Executive Officer. The CODM manages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Company’s operations as a single operating segment, which comprises its single reportable segment, for the purposes of assessing performance and making operating decisions. The Company’s focus is on the research, development and commercialization of novel therapeutics for the treatment of rare diseases. See Note 19 for the Company’s segment disclosures required by ASC 280, as amended by ASU 2023-07 </w:t>
      </w:r>
      <w:r>
        <w:rPr>
          <w:rFonts w:ascii="Times New Roman" w:cs="Times New Roman" w:eastAsia="Times New Roman" w:hAnsi="Times New Roman"/>
          <w:sz w:val="18"/>
          <w:szCs w:val="18"/>
          <w:i w:val="1"/>
          <w:iCs w:val="1"/>
          <w:color w:val="auto"/>
        </w:rPr>
        <w:t>Segment Reporting (Topic 326)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The Company records revenue using the guidance of ASC Topic 606,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(“ASC 606”),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amended. Upon the approval by the FDA of the sales and marketing of the Company’s lead product candidate, revenue related to its sale and distribution is accounted for under ASC 606. The Company recognizes revenue when its customer obtains control of promised goods or services, in an amount that reflects the consideration that the Company determines it expects to receive in exchange for those goods or services. To determine revenue recognition for arrangements that the Company determines are within the scope of ASC 606, the Company performs the following five steps: (1) identify the customer and contract with the customer; (2) identify the performance obligations in the contract; (3) determine the transaction price, adjusted for variable consideration resulting from potential returns, rebates, discounts, and down-stream charges; (4) allocate the transaction price to the performance obligations in the contract; and (5) recognize revenue when the Company satisfies its performance obligations, which is upon shipment of the finished product to the customer.</w:t>
      </w:r>
    </w:p>
    <w:p>
      <w:pPr>
        <w:spacing w:after="0" w:line="19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currently sells its product to a specialty pharmacy, which dispenses the Company’s drug product to patients in the U.S. The Company records revenue when the specialty pharmacy obtains control over the promised good, which occurs at a point in time, typically upon delivery to the specialty pharmacy. The Company has concluded that it provides one performance obligation in its contract with its customers: the delivery of drug product that has been approved for sale and distribution by the applicable regulatory authority.</w:t>
      </w:r>
    </w:p>
    <w:p>
      <w:pPr>
        <w:spacing w:after="0" w:line="2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As part of the accounting for its contract arrangements, the Company makes significant judgments, primarily related to the estimation of the amount of variable consideration to include in the transaction price upon delivery of the Company’s drug product. The variable consideration includes estimates for discounts, product returns, rebates that will be due to U.S. federal and state payors, such as Medicaid, based on agreements that the Company has with these payors who provide medical insurance to the end patient, and estimated co-pay assistance payments for patients who enroll in the Company’s patient assistance program. These variable payments are considered a reduction of the Company’s transaction price with its customer and must be estimated at the time the Company’s product is delivered to the customer. The Company determines the amount of variable consideration by using the expected value method. Net revenue recognized for each period is the amount for which, based on management’s estimate, it is probable that a significant reversal of cumulative revenue recognized will not occur. At the end of each subsequent reporting period, the Company re-evaluates these estimates based on new information and actual operational trends and if necessary, adjusts these variable consideration estimates. Any such adjustments are recorded on a cumulative catch-up basis in the period of the adjustment.</w:t>
      </w:r>
    </w:p>
    <w:p>
      <w:pPr>
        <w:spacing w:after="0" w:line="21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—Cost of revenue consists of drug product costs, amortization of intangible assets associated with license agreements, accrued royalty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capitalized internal direct and overhead costs associated with the manufacturing, lot release and distribution of XOLREMDI. Cost of revenue may also include costs related to excess or obsolete inventory adjustment charges and abnormal manufacturing costs.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358" w:right="39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Programs— </w:t>
      </w:r>
      <w:r>
        <w:rPr>
          <w:rFonts w:ascii="Times New Roman" w:cs="Times New Roman" w:eastAsia="Times New Roman" w:hAnsi="Times New Roman"/>
          <w:sz w:val="18"/>
          <w:szCs w:val="18"/>
          <w:color w:val="auto"/>
        </w:rPr>
        <w:t>Proceeds under the research and development incentive program from the Austrian government are recognized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income in an amount equal to the qualifying expenses incurred in each period multiplied by the applicable reimbursement percentage. Incentive income recognized upon incurring qualifying expenses in advance of receipt of proceeds from research and development incentives is recorded in the consolidated balance sheet as research and development incentive receivable.</w:t>
      </w:r>
    </w:p>
    <w:p>
      <w:pPr>
        <w:spacing w:after="0" w:line="1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Costs— </w:t>
      </w:r>
      <w:r>
        <w:rPr>
          <w:rFonts w:ascii="Times New Roman" w:cs="Times New Roman" w:eastAsia="Times New Roman" w:hAnsi="Times New Roman"/>
          <w:sz w:val="18"/>
          <w:szCs w:val="18"/>
          <w:color w:val="auto"/>
        </w:rPr>
        <w:t>Costs associated with internal research and development and external research and development services, including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preclinical studies, are expensed as incurred. Research and development expenses include costs for salaries, employee benefits, subcontractors, facility-related expenses, depreciation and amortization, stock-based compensation, third-party license fees, laboratory supplies, and external costs of outside vendors engaged to conduct discovery, preclinical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spacing w:after="0" w:line="184"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color w:val="auto"/>
        </w:rPr>
        <w:t>Nonrefundable advance payments for services to be received in the future for use in research and development activities are recorded as prepaid expenses. Such prepaid expenses are recognized as an expense when the related services have been performed, or when it is no longer expected that the goods will be delivered, or the services rendered.</w:t>
      </w:r>
    </w:p>
    <w:p>
      <w:pPr>
        <w:spacing w:after="0" w:line="2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Costs— </w:t>
      </w: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about the recovery of the expenditure. Amounts incurred are classified as selling, general and administrative expenses.</w:t>
      </w:r>
    </w:p>
    <w:p>
      <w:pPr>
        <w:spacing w:after="0" w:line="15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w:t>
      </w:r>
      <w:r>
        <w:rPr>
          <w:rFonts w:ascii="Times New Roman" w:cs="Times New Roman" w:eastAsia="Times New Roman" w:hAnsi="Times New Roman"/>
          <w:sz w:val="18"/>
          <w:szCs w:val="18"/>
          <w:color w:val="auto"/>
        </w:rPr>
        <w:t>Debt issuance costs consist of payments made to secure commitments under certain debt financing arrangements. These amounts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17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The Company measures all stock-based awards granted to employees, nonemployees and directors based on the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date of the grant and recognizes compensation expense for those awards, net of estimated forfeitures, over the requisite service period, which is generally the vesting period of the respective award. The Company issues stock-based awards with service-based vesting conditions and records the expense for these awards using the straight-line method. The Company has also issued stock-based awards with performance-based vesting conditions that vest in part upon the Company’s achievement of operational milestones and over time thereafter for the subsequent two years as the employee continues to provide services. The Company assesses the probability of achievement of these operational milestones and recognizes stock-based compensation for these awards using the accelerated attribution model based on the fair value of the awards as of the date of grant and its best estimate of the date each operational milestone will be achieved.</w:t>
      </w:r>
    </w:p>
    <w:p>
      <w:pPr>
        <w:spacing w:after="0" w:line="18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is recognized in full in the period of adjustment, and if the actual forfeiture rate is materially different from the Company’s estimate, the Company may be required to record adjustments to stock-based compensation expense in future periods.</w:t>
      </w:r>
    </w:p>
    <w:p>
      <w:pPr>
        <w:spacing w:after="0" w:line="1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Prior to March 13, 2019, the Company was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 consultants is equal to the contractual term of the option award. The risk-free interest rate is determined by reference to</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400"/>
        <w:spacing w:after="0" w:line="259" w:lineRule="auto"/>
        <w:rPr>
          <w:sz w:val="20"/>
          <w:szCs w:val="20"/>
          <w:color w:val="auto"/>
        </w:rPr>
      </w:pPr>
      <w:r>
        <w:rPr>
          <w:rFonts w:ascii="Times New Roman" w:cs="Times New Roman" w:eastAsia="Times New Roman" w:hAnsi="Times New Roman"/>
          <w:sz w:val="18"/>
          <w:szCs w:val="18"/>
          <w:color w:val="auto"/>
        </w:rPr>
        <w:t>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17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Liabilities: Hercules Loan Redemption Feature— </w:t>
      </w:r>
      <w:r>
        <w:rPr>
          <w:rFonts w:ascii="Times New Roman" w:cs="Times New Roman" w:eastAsia="Times New Roman" w:hAnsi="Times New Roman"/>
          <w:sz w:val="18"/>
          <w:szCs w:val="18"/>
          <w:color w:val="auto"/>
        </w:rPr>
        <w:t>The Company’s Hercules Loan Agreement contains a redemption feature that, upon an event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default, provides Hercules the option to accelerate and demand repayment of the debt, including a prepayment premium, or, at its election, charge additional contingent interest fees on any overdue interest or principal payments. The redemption feature meets the definition of a derivative instrument as the repayment of the debt contains a substantial premium, resulting in the redemption feature not being clearly and closely related to its host instrument. Accordingly, the Company classifies this derivative as a liability within other liabilities (non-current) on its consolidated balance sheets. The derivative liability was initially recorded at fair value on the date of the Hercules Loan Agreement and is subsequently remeasured to fair value at each reporting date. Changes in the fair value of this derivative liability, which is included in other liabilities, are recognized as a component of other (expense) income, net, in the consolidated statements of operations and comprehensive loss. Changes in the fair value of this derivative liability will continue to be recognized until all amounts outstanding under the Hercules Loan Agreement are repaid or until the Hercules Loan Agreement is terminated.</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Loss— </w:t>
      </w:r>
      <w:r>
        <w:rPr>
          <w:rFonts w:ascii="Times New Roman" w:cs="Times New Roman" w:eastAsia="Times New Roman" w:hAnsi="Times New Roman"/>
          <w:sz w:val="18"/>
          <w:szCs w:val="18"/>
          <w:color w:val="auto"/>
        </w:rPr>
        <w:t>For the year ended December 31, 2024, 2023, and 2022 all foreign currency remeasurement gains and losses were included in net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Company has deemed the functional currency of its foreign subsidiary to be the U.S. Dollar. Accumulated other comprehensive loss includes foreign currency translation adjustments of $119 thousand for the year ended December 31, 2019 that were included in other comprehensive loss prior to the designation of the U.S. Dollar as the functional currency of X4 Austria. As of December 31, 2024, unrealized gains on the Company’s marketable debt security portfolio are included in accumulated other comprehensive loss on the consolidated balance sheet. Once these gains (losses) are realized, they are included in other (expense) income, net, on the consolidated statements of operations and comprehensive loss.</w:t>
      </w:r>
    </w:p>
    <w:p>
      <w:pPr>
        <w:spacing w:after="0" w:line="18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Net Loss per Share—</w:t>
      </w: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weighted average number of shares of common stock outstanding for the period. In addition, during the year ended December 31, 2022, in accordance with the provisions of the Company’s Class B Warrants, the exercise price of each outstanding Class B Warrant was adjusted to the price of subsequent sales of common stock. Such adjustment is presented as a deemed dividend that adjusts net loss available to common shareholders for purposes of basic earnings per share. The deemed dividend is calculated using the Black-Scholes pricing model, taking into account historical volatility of the Company’s common stock and the estimated remaining life of the outstanding Class B Warrants.</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Basic shares outstanding includes the weighted average effect of the Company’s outstanding prefunded warrants, the exercise of which requires little or no consideration for the delivery of shares of common stock.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shares of common stock outstanding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for the period, including potential dilutive shares of common stock. For purpose of this calculation, outstanding stock options, unvested restricted stock units and warrants to purchase shares of common stock are considered potential dilutive shares of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2023-07, </w:t>
      </w:r>
      <w:r>
        <w:rPr>
          <w:rFonts w:ascii="Times New Roman" w:cs="Times New Roman" w:eastAsia="Times New Roman" w:hAnsi="Times New Roman"/>
          <w:sz w:val="18"/>
          <w:szCs w:val="18"/>
          <w:i w:val="1"/>
          <w:iCs w:val="1"/>
          <w:color w:val="auto"/>
        </w:rPr>
        <w:t>Segment Reporting (Topic 326)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Among other disclosure enhancements, ASU 2023-07 requires that entities with one reportable segment, such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disclose general information for its reportable segment, such as the title and position of the individual identified as the Chief Operating Decision Maker (“CODM”), which for the Company is the Chief Executive Officer, the types of products and services provided by the reportable segment, the measure of profit or loss reviewed by the CODM to evaluate performance of the reportable segment and other financial results such as significant segment expenses, interest income, interest expense, and depreciation associated with the reportable segment. The amendments in ASU 2023-07 became effective for the Company in these consolidated financial statements for the year ending December 31, 2024 and were adopted retrospectively. See Note 19, which contains the disclosures required by ASU 2023-07.</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Announced Accounting Standards Not Yet Adopted</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The amendments in ASU 2023-09 require that entities on an annual basis disclose specific categories in the income tax rate reconciliation and provide additional information for reconciling items if the effect of those reconciling items that exceed a certain threshold. ASU 2023-09 also requires more disaggregated disclosures related to income taxes paid. The amendments in ASU 2023-09 become effective for the Company in its December 31, 2025 consolidated financial statements. Although the Company continues to evaluate the potential impact of ASU 2023-09, the Company does not believe that the adoption of ASU 2023-09 will have a material impact on its consolidated financial statements when adopted.</w:t>
      </w:r>
    </w:p>
    <w:p>
      <w:pPr>
        <w:spacing w:after="0" w:line="21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(Topic 220)</w:t>
      </w:r>
      <w:r>
        <w:rPr>
          <w:rFonts w:ascii="Times New Roman" w:cs="Times New Roman" w:eastAsia="Times New Roman" w:hAnsi="Times New Roman"/>
          <w:sz w:val="18"/>
          <w:szCs w:val="18"/>
          <w:color w:val="auto"/>
        </w:rPr>
        <w:t xml:space="preserve"> (“ASU 2024-03”) requiring that public business entities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The requirements in ASU 2024-03 may be applied either prospectively to financial statements issued for reporting periods after the effective date or retrospectively to any or all prior periods presented in the financial statements. The Company continues to evaluate the potential impact of ASU 2024-03.</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LICENSE AND FUNDING ARRANGEMENTS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Agreement</w:t>
      </w:r>
    </w:p>
    <w:p>
      <w:pPr>
        <w:spacing w:after="0" w:line="28"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July 2014, the Company entered into a license agreement with Genzyme (the “Genzyme Agreement”) pursuant to which the Company was granted an exclusive license to certain patents and intellectual property owned or controlled by Genzyme related to the CXCR4 receptor to develop and commercialize products containing licensed compounds (including but not limited to mavorixafor) for all therapeutic, prophylactic and diagnostic uses, with the exception of autologous and allogenic human stem cell therapy. Under the terms of the Genzyme Agreement, the Company is obligated to use commercially reasonable efforts to develop and commercialize licensed products for use in the field in the United States and at least one other major market country. The Company has the right to grant sublicenses of the licensed rights that cover mavorixafor to third parties.</w:t>
      </w:r>
    </w:p>
    <w:p>
      <w:pPr>
        <w:spacing w:after="0" w:line="21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2024, a $7.0 million regulatory milestone payment was incurred and paid after receipt of FDA approval of the Company’s NDA on April 26, 2024. The payment was recorded as a definite-lived intangible asset as discussed in Note 8. For the year ended December 31, 2023, a $5.0 million milestone was incurred and paid upon the FDA’s acceptance of the Company’s NDA seeking approval of oral, once-daily mavorixafor in the treatment of people aged 12 years and older with WHIM syndrome. Such amount has been included within research and development expense. For the year ended December 31, 2022, the Company did not incur any payment obligations to Genzyme under the Genzyme Agreement.</w:t>
      </w:r>
    </w:p>
    <w:p>
      <w:pPr>
        <w:spacing w:after="0" w:line="16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As of December 31, 2024, the Company is obligated to make future milestone payments in the aggregate amount of up to $13.0 million contingent upon the achievement by the Company of certain clinical-stage regulatory and sales milestones with respect to licensed products. The remaining regulatory milestones include (i) $3.0 million for the acceptance by the EMA of the Company’s first drug application and (ii) $5.0 million upon the notification by the EMA of regulatory approval of our first drug application. The Company must also make one-time sales milestone payments of $0.5 million, $1.5 million and $3.0 million on cumulative net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sales of $50.0 million, $150.0 million and $300.0 million, respectively. As of December 31, 2024, the Company accrued $3.0 million of regulatory milestones, which were achieved and paid in the first quarter of 2025, and $0.5 million of sales-based milestones as a component of the definite-lived intangible asset, as management has concluded that the achievement of these milestones is probable.</w:t>
      </w:r>
    </w:p>
    <w:p>
      <w:pPr>
        <w:spacing w:after="0" w:line="17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Company is also obligated to pay Genzyme tiered royalties based on net sales of licensed products that the Company commercializes under the agreement. Upon the first sale of the Company’s drug candidate in the U.S., the Company incurred a royalty on annual net sales at a rate of 6%, and will incur royalties on annual net sales at a rate of 6% up to $150.0 million, 10% on the portion of annual net sales between $150.0 million and $300.0 million, and 12.00% thereafter on annual sale over $300.0 million. The Company also incurs a 15% royalty on certain sublicense payments received from sub-licensees.</w:t>
      </w:r>
    </w:p>
    <w:p>
      <w:pPr>
        <w:spacing w:after="0" w:line="16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obligation to pay royalties for each licensed product expires on a country-by-country basis on the latest of (i) the expiration of licensed patent rights that cover that licensed product in that country, (ii) the expiration of regulatory exclusivity in that country and (iii) ten years after the first commercial sale of such licensed product in that country. Royalty rates are subject to reduction under the agreement in specified circumstances, including in any country if the Company is required to obtain a license from any third party to the extent the Company’s patent rights might infringe the third party’s patent rights, if a licensed product is not covered by a valid claim in that country or if sales of generic products reach certain thresholds in that country. If the Company enters into a sublicense under the Genzyme Agreement, the Company will be obligated to pay Genzyme a percentage of certain upfront fees, maintenance fees, milestone payments and royalty payments paid to the Company by the sublicensee. Under the Genzyme Agreement, the Company will itself manufacture and supply, or enter into manufacturing or supply agreements with Genzyme or third parties to manufacture and supply, clinical and commercial supplies of licensed compounds and each licensed product. The Company is also responsible for all costs related to the filing, prosecution and maintenance of the licensed patent rights.</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Genzyme Agreement will remain in effect until the expiration of the royalty term in all countries for all licensed products. The Genzyme Agreement may be terminated by either party with at least 90 days’ notice in the event of material breach by the other party that remains uncured for 90 days, by either party for insolvency or bankruptcy of the other party, immediately by Genzyme if the Company challenges the licensed patents, or immediately by the Company if a material safety issue arises.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Georgetown Agreement</w:t>
      </w:r>
    </w:p>
    <w:p>
      <w:pPr>
        <w:spacing w:after="0" w:line="2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In December 2016, the Company entered into a license agreement (the “Georgetown Agreement”) with Georgetown University (“Georgetown”) pursuant to which the Company obtained an exclusive, worldwide license to make, have made, use, sell, offer for sale and import of products covered by patent rights co-owned by Georgetown. The rights licensed to the Company are for all therapeutic, prophylactic and diagnostic uses in all disease indications in humans and animals.</w:t>
      </w:r>
    </w:p>
    <w:p>
      <w:pPr>
        <w:spacing w:after="0" w:line="189"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8"/>
          <w:szCs w:val="18"/>
          <w:color w:val="auto"/>
        </w:rPr>
        <w:t>Under the terms of the Georgetown Agreement, the Company paid a one-time, upfront fee of $50 thousand, and the Company may be required to make milestone payments of up to an aggregate of $800 thousand related to commercial sales of its product. Under the Georgetown Agreement, the Company is solely responsible for all development and commercialization activities and costs in its respective territories. The Company is also responsible for all costs related to the filing, prosecution, and maintenance of the licensed patent rights. The term of the Georgetown Agreement will continue until the expiration of the last valid claim within the patent rights covering the product. Georgetown may terminate the agreement in the event (i) the Company fails to pay any amount and fails to cure such failure within 30 days after receipt of notice, (ii) the Company defaults in its obligation to obtain and maintain insurance and fails to remedy such breach within 45 days after receipt of notice, or (iii) the Company declares insolvency or bankruptcy. The Company may terminate the Georgetown Agreement at any time upon at least 60 days’ written notice. During the years ended December 31, 2024, 2023 and 2022, the Company did not incur any payment obligations to Georgetown under the Georgetown Agreement and no milestone payments were made or due under the Georgetown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Beth Israel Deaconess Medical Center Agreement</w:t>
      </w:r>
    </w:p>
    <w:p>
      <w:pPr>
        <w:spacing w:after="0" w:line="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December 2016, the Company entered into a license agreement (the “BIDMC Agreement”) with Beth Israel Deaconess Medical Center (“BIDMC”), pursuant to which the Company obtained an exclusive, worldwide license to make, have made, use, sell, offer for sale and import products covered by patent rights co-owned by BIDMC. The rights licensed to the Company are for all fields of use. Under the terms of the BIDMC Agreement, the Company paid a one-time, upfront fee of $20 thousand, and the Company is responsible for all future patent prosecution costs. The Company recorded the upfront payment as research and development expense in the consolidated statements of operations and comprehensive loss because the acquired technology represented in-process research and development and had no alternative future use. The term of the BIDMC Agreement will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 until the expiration of the last valid claim within the patent rights covering the licensed products. BIDMC may terminate the agreement in the event</w:t>
      </w:r>
    </w:p>
    <w:p>
      <w:pPr>
        <w:spacing w:after="0" w:line="36" w:lineRule="exact"/>
        <w:rPr>
          <w:sz w:val="20"/>
          <w:szCs w:val="20"/>
          <w:color w:val="auto"/>
        </w:rPr>
      </w:pPr>
    </w:p>
    <w:p>
      <w:pPr>
        <w:ind w:right="140" w:firstLine="6"/>
        <w:spacing w:after="0" w:line="247" w:lineRule="auto"/>
        <w:tabs>
          <w:tab w:leader="none" w:pos="2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pay any amount and fails to cure such failure within 15 days after receipt of notice, (ii) the Company is in material breach of any material provision of the BIDMC Agreement and fails to remedy such breach within 60 days after receipt of notice, or (iii) the Company declares insolvency or bankruptcy. The Company may terminate the BIDMC Agreement at any time upon at least 90 days’ written notice. The Company did not incur any payment obligations under the BIDMC Agreement during the years ended December 31, 2024, 2023 and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Dana Farber Cancer Institute Agreement</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November 2020, the Company entered into a license agreement (the “DFCI Agreement”) with the Dana Farber Cancer Institute (“DFCI”) pursuant to which the Company obtained a non-exclusive, royalty-bearing license to use, make, have made, develop, market, import, distribute, sell and have sold products covered by patent rights owned by DFCI. Under the terms of the DFCI Agreement, the Company paid a one-time, upfront fee of $25 thousand and approximately $35 thousand for reimbursement of DFCI’s past patent expenses relating to the patent rights. The DFCI Agreement was terminated effective January 20, 2025 and the Company has no further rights or obligations under the DFCI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Incentive Program</w:t>
      </w:r>
    </w:p>
    <w:p>
      <w:pPr>
        <w:spacing w:after="0" w:line="2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The Company participates in a research and development incentive program provided by the Austrian government whereby the Company is entitled to reimbursement by the Austrian government for a percentage of qualifying research and development expenses incurred by the Company’s subsidiary in Austria. Under the program, the reimbursement rate for qualifying research and development expenses incurred by the Company through X4 Austria is 14% for the current year.</w:t>
      </w:r>
    </w:p>
    <w:p>
      <w:pPr>
        <w:spacing w:after="0" w:line="189"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The Company recognizes incentive income from Austrian research and development incentives when qualifying expenses have been incurred, there is reasonable assurance that the payment will be received, and the consideration can be reliably measured. Management has assessed the Company’s research and development activities and expenditures to determine which activities and expenditures are likely to be eligible under the research and development incentive program described above. At each reporting date, management estimates the reimbursable incentive income available to the Company based on available information at the time.</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years ended December 31, 2024 and 2023, the amounts due under these programs were $0.7 million and $0.6 million, respectively, which is included in research and development incentive receivable on the consolidated balance sheets. During the years ended December 31, 2024, 2023 and 2022, the Company recorded $0.7 million, $0.6 million and $0.5 million, respectively, of income related to the program on the consolidated statements of operations and comprehensive loss within “other income”.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Abbisko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2019, the Company entered into a license agreement with Abbisko (the “Abbisko Agreement”). Under the terms of the Abbisko Agreement,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granted Abbisko the exclusive right to develop, manufacture and commercialize mavorixafor in mainland China, Taiwan, Hong Kong and Macau,</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(“Abbisko Territory”). The agreement provides Abbisko with the exclusive rights in the Abbisko Territory to develop and commercialize mavorixafor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with checkpoint inhibitors or other agents in multiple oncology indications. The Company retains the full rest-of-world rights to develop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commercialize mavorixafor outside of Greater China for all indications and the ability to utilize data generated pursuant to the Abbisko collaboration for rest-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of-world development. Assuming mavorixafor is developed by Abbisko in six indications, the Company would be entitled to milestone payments of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$214.0 million, which will vary based on the ultimate sales, if any, of the approved licensed products. In addition, upon commercialization of mavorixafor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Abbisko Territory, the Company is eligible to receive a tiered royalty, with a percentage range in the low double-digits, on net sales of approved licensed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Abbisko is obligated to use commercially reasonable efforts to develop and commercialize mavorixafor in the Abbisko Territory. Abbisko has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responsibility for all activities and costs associated with the further development, manufacture and commercialization of mavorixafor in the Abbisko Territory.</w:t>
      </w:r>
    </w:p>
    <w:p>
      <w:pPr>
        <w:spacing w:after="0" w:line="236"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7"/>
          <w:szCs w:val="17"/>
          <w:color w:val="auto"/>
        </w:rPr>
        <w:t>The Company determined that the future sale of clinical and commercial supply are optional goods that will be subject to the customer’s future purchasing decisions and do not represent performance obligations in the Abbisko Agreement. The Company concluded that the amount to be charged for the clinical supply will be reflective of market value and, therefore, the Abbisko Agreement does not provide a discount on such supply that would be accounted for as material right at the outset of the contract. In arriving at these conclusions, the Company considered the complexity of the manufacturing process for the licensed compound and the potential ability for Abbisko to obtain the compound directly from other manufactures in the future.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1" w:name="page102"/>
    <w:bookmarkEnd w:id="10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expects that it will recognize revenue at a point in time when such clinical supply (and commercial supply, if applicable) is delivered to Abbisko in the future.</w:t>
      </w:r>
    </w:p>
    <w:p>
      <w:pPr>
        <w:spacing w:after="0" w:line="229" w:lineRule="exact"/>
        <w:rPr>
          <w:sz w:val="20"/>
          <w:szCs w:val="20"/>
          <w:color w:val="auto"/>
        </w:rPr>
      </w:pPr>
    </w:p>
    <w:p>
      <w:pPr>
        <w:ind w:right="600"/>
        <w:spacing w:after="0" w:line="274" w:lineRule="auto"/>
        <w:rPr>
          <w:sz w:val="20"/>
          <w:szCs w:val="20"/>
          <w:color w:val="auto"/>
        </w:rPr>
      </w:pPr>
      <w:r>
        <w:rPr>
          <w:rFonts w:ascii="Times New Roman" w:cs="Times New Roman" w:eastAsia="Times New Roman" w:hAnsi="Times New Roman"/>
          <w:sz w:val="18"/>
          <w:szCs w:val="18"/>
          <w:color w:val="auto"/>
        </w:rPr>
        <w:t>The Company re-evaluates the transaction price, including its estimated variable consideration for milestones included in the transaction price and all constrained amounts, in each reporting period and as uncertain events are resolved or other changes in circumstances occur.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Norgine Agreement. </w:t>
      </w:r>
      <w:r>
        <w:rPr>
          <w:rFonts w:ascii="Times New Roman" w:cs="Times New Roman" w:eastAsia="Times New Roman" w:hAnsi="Times New Roman"/>
          <w:sz w:val="18"/>
          <w:szCs w:val="18"/>
          <w:color w:val="auto"/>
        </w:rPr>
        <w:t>See Note 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PRODUCT REVENUE, NET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the Company recorded net revenue of $2.6 million for the sale of the Company’s product.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and activity in each of the product reserve accounts for the year ended December 31,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Rebates and</w:t>
            </w:r>
          </w:p>
        </w:tc>
        <w:tc>
          <w:tcPr>
            <w:tcW w:w="100" w:type="dxa"/>
            <w:vAlign w:val="bottom"/>
          </w:tcPr>
          <w:p>
            <w:pPr>
              <w:spacing w:after="0"/>
              <w:rPr>
                <w:sz w:val="15"/>
                <w:szCs w:val="15"/>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Co-Pay Assistance</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Discounts</w:t>
            </w: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55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Provision related to revenue associated with sales processed in the year ended</w:t>
            </w:r>
          </w:p>
        </w:tc>
        <w:tc>
          <w:tcPr>
            <w:tcW w:w="200" w:type="dxa"/>
            <w:vAlign w:val="bottom"/>
          </w:tcPr>
          <w:p>
            <w:pPr>
              <w:spacing w:after="0"/>
              <w:rPr>
                <w:sz w:val="16"/>
                <w:szCs w:val="16"/>
                <w:color w:val="auto"/>
              </w:rPr>
            </w:pPr>
          </w:p>
        </w:tc>
        <w:tc>
          <w:tcPr>
            <w:tcW w:w="1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center"/>
              <w:ind w:left="332"/>
              <w:spacing w:after="0" w:line="194" w:lineRule="exact"/>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920"/>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259</w:t>
            </w:r>
          </w:p>
        </w:tc>
      </w:tr>
      <w:tr>
        <w:trPr>
          <w:trHeight w:val="231"/>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Credits and payments made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3"/>
              </w:rPr>
              <w:t>(34)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5"/>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center"/>
              <w:ind w:left="332"/>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contractual discounts provided to the Company’s customer is recorded as a reduction of accounts receivable.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for co-pay assistance payments, contractual rebates and product returns are classified within accrued expenses.</w:t>
      </w:r>
    </w:p>
    <w:p>
      <w:pPr>
        <w:spacing w:after="0" w:line="224" w:lineRule="exact"/>
        <w:rPr>
          <w:sz w:val="20"/>
          <w:szCs w:val="20"/>
          <w:color w:val="auto"/>
        </w:rPr>
      </w:pPr>
    </w:p>
    <w:p>
      <w:pPr>
        <w:ind w:right="2720"/>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rollforward of accounts receivable for the year ended December 31, 2024. There was no activity in accounts receivable for the year ended December 31, 2023.</w:t>
      </w:r>
    </w:p>
    <w:tbl>
      <w:tblPr>
        <w:tblLayout w:type="fixed"/>
        <w:tblInd w:w="0" w:type="dxa"/>
        <w:tblCellMar>
          <w:top w:w="0" w:type="dxa"/>
          <w:left w:w="0" w:type="dxa"/>
          <w:bottom w:w="0" w:type="dxa"/>
          <w:right w:w="0" w:type="dxa"/>
        </w:tblCellMar>
      </w:tblPr>
      <w:tr>
        <w:trPr>
          <w:trHeight w:val="200"/>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2023</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accounts receivable for drug product sales</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0"/>
        </w:trPr>
        <w:tc>
          <w:tcPr>
            <w:tcW w:w="9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accounts receivable for cash collections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25"/>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ASSETS AND LIABILITIES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358" w:right="41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0" w:type="dxa"/>
            <w:vAlign w:val="bottom"/>
            <w:gridSpan w:val="9"/>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 Using:</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equivalents—money market funds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0" w:type="dxa"/>
            <w:vAlign w:val="bottom"/>
          </w:tcPr>
          <w:p>
            <w:pPr>
              <w:spacing w:after="0"/>
              <w:rPr>
                <w:sz w:val="1"/>
                <w:szCs w:val="1"/>
                <w:color w:val="auto"/>
              </w:rPr>
            </w:pPr>
          </w:p>
        </w:tc>
      </w:tr>
      <w:tr>
        <w:trPr>
          <w:trHeight w:val="159"/>
        </w:trPr>
        <w:tc>
          <w:tcPr>
            <w:tcW w:w="49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Marketable securities-U.S. Treasury notes, U.S. Treasury bills, and federal</w:t>
            </w:r>
          </w:p>
        </w:tc>
        <w:tc>
          <w:tcPr>
            <w:tcW w:w="30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0" w:type="dxa"/>
            <w:vAlign w:val="bottom"/>
          </w:tcPr>
          <w:p>
            <w:pPr>
              <w:spacing w:after="0"/>
              <w:rPr>
                <w:sz w:val="1"/>
                <w:szCs w:val="1"/>
                <w:color w:val="auto"/>
              </w:rPr>
            </w:pPr>
          </w:p>
        </w:tc>
      </w:tr>
      <w:tr>
        <w:trPr>
          <w:trHeight w:val="212"/>
        </w:trPr>
        <w:tc>
          <w:tcPr>
            <w:tcW w:w="4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government agency notes</w:t>
            </w:r>
          </w:p>
        </w:tc>
        <w:tc>
          <w:tcPr>
            <w:tcW w:w="3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Embedded derivative liability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Class C warrant liability (Note 13)</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9"/>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 Using:</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equivalents—money market funds and U.S. Treasury bills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81,841</w:t>
            </w:r>
          </w:p>
        </w:tc>
        <w:tc>
          <w:tcPr>
            <w:tcW w:w="0" w:type="dxa"/>
            <w:vAlign w:val="bottom"/>
          </w:tcPr>
          <w:p>
            <w:pPr>
              <w:spacing w:after="0"/>
              <w:rPr>
                <w:sz w:val="1"/>
                <w:szCs w:val="1"/>
                <w:color w:val="auto"/>
              </w:rPr>
            </w:pPr>
          </w:p>
        </w:tc>
      </w:tr>
      <w:tr>
        <w:trPr>
          <w:trHeight w:val="159"/>
        </w:trPr>
        <w:tc>
          <w:tcPr>
            <w:tcW w:w="4980" w:type="dxa"/>
            <w:vAlign w:val="bottom"/>
          </w:tcPr>
          <w:p>
            <w:pPr>
              <w:ind w:left="80"/>
              <w:spacing w:after="0" w:line="159" w:lineRule="exact"/>
              <w:rPr>
                <w:sz w:val="20"/>
                <w:szCs w:val="20"/>
                <w:color w:val="auto"/>
              </w:rPr>
            </w:pPr>
            <w:r>
              <w:rPr>
                <w:rFonts w:ascii="Times New Roman" w:cs="Times New Roman" w:eastAsia="Times New Roman" w:hAnsi="Times New Roman"/>
                <w:sz w:val="16"/>
                <w:szCs w:val="16"/>
                <w:color w:val="auto"/>
              </w:rPr>
              <w:t>Marketable securities-U.S. Treasury notes, U.S. Treasury bills, and federal</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3"/>
                <w:szCs w:val="13"/>
                <w:color w:val="auto"/>
              </w:rPr>
            </w:pP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2"/>
        </w:trPr>
        <w:tc>
          <w:tcPr>
            <w:tcW w:w="49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government agency notes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Embedded derivative liability</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Class C warrant liability</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marketable securities are classified as short-term investments as all are due within one year and include investments in U.S. Treasury notes, U.S. Treasury bills and federal government agency notes. The amortized cost of each investment, individually and in aggregate, approximates fair value. The Company evaluated each marketable security for impairment that is other-than-temporary and concluded that no marketable security was impaired as of December 31, 2024 and December 31, 2023.</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color w:val="auto"/>
        </w:rPr>
        <w:t>The Company’s cash equivalents consisted of money market funds invested in U.S. Treasury securities and direct investments in U.S. Treasury securities. The money market funds were valued based on quoted prices in active markets for identical assets, which represents a Level 1 measurement. U.S. Treasury securities were valued by using inputs observable in active markets for similar securities, which represents a Level 2 measurement in the fair value hierarchy.</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169"/>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Gross Unrealized Gains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Gross Unrealized Losses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2"/>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9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w:t>
            </w:r>
          </w:p>
        </w:tc>
      </w:tr>
      <w:tr>
        <w:trPr>
          <w:trHeight w:val="225"/>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Government Agency securities</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27,436</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27,431</w:t>
            </w:r>
          </w:p>
        </w:tc>
      </w:tr>
      <w:tr>
        <w:trPr>
          <w:trHeight w:val="24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9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169"/>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2"/>
        </w:trPr>
        <w:tc>
          <w:tcPr>
            <w:tcW w:w="3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7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4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r>
      <w:tr>
        <w:trPr>
          <w:trHeight w:val="225"/>
        </w:trPr>
        <w:tc>
          <w:tcPr>
            <w:tcW w:w="3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Federal Government Agency securities</w:t>
            </w:r>
          </w:p>
        </w:tc>
        <w:tc>
          <w:tcPr>
            <w:tcW w:w="700" w:type="dxa"/>
            <w:vAlign w:val="bottom"/>
            <w:tcBorders>
              <w:bottom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42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r>
      <w:tr>
        <w:trPr>
          <w:trHeight w:val="243"/>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The following table provides a roll-forward of the aggregate fair values of the Company’s Class C and PIPE warrant liabilities and derivative liability, for which fair values are determined using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-1905</wp:posOffset>
            </wp:positionV>
            <wp:extent cx="3239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PIPE Warrant Liability</w:t>
            </w:r>
          </w:p>
        </w:tc>
        <w:tc>
          <w:tcPr>
            <w:tcW w:w="20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Class C Warrant</w:t>
            </w:r>
          </w:p>
        </w:tc>
        <w:tc>
          <w:tcPr>
            <w:tcW w:w="0" w:type="dxa"/>
            <w:vAlign w:val="bottom"/>
          </w:tcPr>
          <w:p>
            <w:pPr>
              <w:spacing w:after="0"/>
              <w:rPr>
                <w:sz w:val="1"/>
                <w:szCs w:val="1"/>
                <w:color w:val="auto"/>
              </w:rPr>
            </w:pPr>
          </w:p>
        </w:tc>
      </w:tr>
      <w:tr>
        <w:trPr>
          <w:trHeight w:val="193"/>
        </w:trPr>
        <w:tc>
          <w:tcPr>
            <w:tcW w:w="6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4"/>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Class C Warrants</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5"/>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permanent equity</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w:t>
            </w:r>
          </w:p>
        </w:tc>
        <w:tc>
          <w:tcPr>
            <w:tcW w:w="0" w:type="dxa"/>
            <w:vAlign w:val="bottom"/>
          </w:tcPr>
          <w:p>
            <w:pPr>
              <w:spacing w:after="0"/>
              <w:rPr>
                <w:sz w:val="1"/>
                <w:szCs w:val="1"/>
                <w:color w:val="auto"/>
              </w:rPr>
            </w:pPr>
          </w:p>
        </w:tc>
      </w:tr>
      <w:tr>
        <w:trPr>
          <w:trHeight w:val="225"/>
        </w:trPr>
        <w:tc>
          <w:tcPr>
            <w:tcW w:w="6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permanent equity upon exercise</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18"/>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0" w:type="dxa"/>
            <w:vAlign w:val="bottom"/>
          </w:tcPr>
          <w:p>
            <w:pPr>
              <w:spacing w:after="0"/>
              <w:rPr>
                <w:sz w:val="1"/>
                <w:szCs w:val="1"/>
                <w:color w:val="auto"/>
              </w:rPr>
            </w:pPr>
          </w:p>
        </w:tc>
      </w:tr>
      <w:tr>
        <w:trPr>
          <w:trHeight w:val="225"/>
        </w:trPr>
        <w:tc>
          <w:tcPr>
            <w:tcW w:w="6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18"/>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Valuation of Embedded Derivative Liability— </w:t>
      </w:r>
      <w:r>
        <w:rPr>
          <w:rFonts w:ascii="Times New Roman" w:cs="Times New Roman" w:eastAsia="Times New Roman" w:hAnsi="Times New Roman"/>
          <w:sz w:val="17"/>
          <w:szCs w:val="17"/>
          <w:color w:val="auto"/>
        </w:rPr>
        <w:t>The fair value of the embedded derivative liability recognized in connection with the Company’s Hercules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Loan Agreement, which is associated with additional fees due to Hercules upon events of default, was determined based on significant inputs not observable in the market, which represents a Level 3 measurement within the fair value hierarchy. The fair value of this embedded derivative liability, which is reported within other non-current liabilities on the consolidated balance sheets, is estimated by the Company at each reporting date based, in part, on the results of third-party valuations, which were prepared based on a discounted cash flow model that considered the timing and probability of occurrence of a redemption upon an event of default, the potential amount of prepayment fees or contingent interest upon an event of default and the Company’s risk-adjusted discount rate of 17%. As of December 31, 2024 and December 31, 2023, the fair value of this derivative liability was $10 thousand.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PIPE Warrant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6, 2022, the Company issued warrants for the purchase of its common stock in a private placement (the “ PIPE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issuance, the holder’s exercise of the PIPE Warrants was conditioned on the Company increasing it authorized shares. As there were insufficient authorized shares available at the time of issuance, the PIPE Warrants were classified as a liability and measured at fair value. On September 1, 2022, upon shareholder approval of the increase to the Company’s authorized shares, the PIPE Warrants met all criteria required for permanent equity accounting and, accordingly, the Company remeasured the fair value of the warrant liability through “other (expense) income, net” and reclassified the fair value of the warrant liability to additional paid-in capital.</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C Warrant Liability— </w:t>
      </w:r>
      <w:r>
        <w:rPr>
          <w:rFonts w:ascii="Times New Roman" w:cs="Times New Roman" w:eastAsia="Times New Roman" w:hAnsi="Times New Roman"/>
          <w:sz w:val="18"/>
          <w:szCs w:val="18"/>
          <w:color w:val="auto"/>
        </w:rPr>
        <w:t>In December 2022, the Company issued Class C Warrants for the purchase of shares of its common stock in a public offering.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 Warrants are accounted for as a liability on the consolidated balance sheet and are adjusted to fair value at period end through “change in fair value of warrant and derivative liabilities” on the consolidated statements of operations and comprehensive loss.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8"/>
          <w:szCs w:val="18"/>
          <w:color w:val="auto"/>
        </w:rPr>
        <w:t>The Company calculated the fair value of the PIPE Warrants and the Class C Warrants using the Black-Scholes option pricing model with the following inputs: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14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Class C Warrants</w:t>
            </w:r>
          </w:p>
        </w:tc>
        <w:tc>
          <w:tcPr>
            <w:tcW w:w="1420" w:type="dxa"/>
            <w:vAlign w:val="bottom"/>
            <w:tcBorders>
              <w:top w:val="single" w:sz="8" w:color="auto"/>
              <w:bottom w:val="single" w:sz="8" w:color="auto"/>
            </w:tcBorders>
          </w:tcPr>
          <w:p>
            <w:pPr>
              <w:spacing w:after="0"/>
              <w:rPr>
                <w:sz w:val="17"/>
                <w:szCs w:val="17"/>
                <w:color w:val="auto"/>
              </w:rPr>
            </w:pPr>
          </w:p>
        </w:tc>
      </w:tr>
      <w:tr>
        <w:trPr>
          <w:trHeight w:val="192"/>
        </w:trPr>
        <w:tc>
          <w:tcPr>
            <w:tcW w:w="67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117.5 %</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101.7 %</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Goodwill is tested quantitatively for impairment at the reporting unit level annually in the fourth quarter, or more frequently when events or changes in circumstances indicate that the asset might be impaired. The Company tested goodwill for impairment as of December 31, 2024, 2023 and 2022 and concluded that goodwill was not further impaired. Should the market value of the Company’s common stock decline, impairment charges may be recorded in the future.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goodwill and accumulated impairment losses.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Goodwill, Gross</w:t>
            </w:r>
          </w:p>
        </w:tc>
        <w:tc>
          <w:tcPr>
            <w:tcW w:w="1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Accumulated Impairment</w:t>
            </w:r>
          </w:p>
        </w:tc>
        <w:tc>
          <w:tcPr>
            <w:tcW w:w="120" w:type="dxa"/>
            <w:vAlign w:val="bottom"/>
            <w:gridSpan w:val="2"/>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4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2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2022</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at December 31, 2023</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4"/>
        </w:trPr>
        <w:tc>
          <w:tcPr>
            <w:tcW w:w="5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F-22</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35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37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71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8"/>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25"/>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18"/>
        </w:trPr>
        <w:tc>
          <w:tcPr>
            <w:tcW w:w="718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approximately $296 thousand, $419 thousand, and $513 thousand for the year ended December 31, 2024, 2023 and 2022, respectively.</w:t>
      </w:r>
    </w:p>
    <w:p>
      <w:pPr>
        <w:spacing w:after="0" w:line="200" w:lineRule="exact"/>
        <w:rPr>
          <w:sz w:val="20"/>
          <w:szCs w:val="20"/>
          <w:color w:val="auto"/>
        </w:rPr>
      </w:pPr>
    </w:p>
    <w:p>
      <w:pPr>
        <w:spacing w:after="0" w:line="202" w:lineRule="exact"/>
        <w:rPr>
          <w:sz w:val="20"/>
          <w:szCs w:val="20"/>
          <w:color w:val="auto"/>
        </w:rPr>
      </w:pPr>
    </w:p>
    <w:p>
      <w:pPr>
        <w:ind w:left="200" w:hanging="194"/>
        <w:spacing w:after="0"/>
        <w:tabs>
          <w:tab w:leader="none" w:pos="2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1"/>
          <w:szCs w:val="21"/>
          <w:b w:val="1"/>
          <w:bCs w:val="1"/>
          <w:color w:val="auto"/>
        </w:rPr>
        <w:t>INTANGIBLE ASSET, NET</w:t>
      </w:r>
    </w:p>
    <w:p>
      <w:pPr>
        <w:spacing w:after="0" w:line="2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Company’s net definite-lived intangible asset, which resulted from the capitalization of certain milestone payments made or accrued related to its license agreement for the intellectual property contained in its drug product, included a gross intangible asset of $10.5 million, less accumulated amortization of $0.5 million, for a net intangible asset of $10.0 million. The Company amortizes the intangible asset to cost of revenue over the remaining life of the underlying patent protecting the intellectual property through 2038.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amortization expense for the next five years and beyond is summarized as follows (in thousands):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8"/>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Amortization</w:t>
            </w:r>
          </w:p>
        </w:tc>
      </w:tr>
      <w:tr>
        <w:trPr>
          <w:trHeight w:val="231"/>
        </w:trPr>
        <w:tc>
          <w:tcPr>
            <w:tcW w:w="9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expense</w:t>
            </w:r>
          </w:p>
        </w:tc>
      </w:tr>
      <w:tr>
        <w:trPr>
          <w:trHeight w:val="25"/>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5"/>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1"/>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9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2"/>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1"/>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9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2"/>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5"/>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9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Company began amortizing its finite-lived intangible assets in April 2024 over a 14-year period based on the expected patent exclusivity period for XOLREMDI. Amortization expense totaled $500 thousand for the year ended December 31, 2024. There was no amortization expense for the years ended December 31, 2023 and 2022. Amortization expense is recorded as a component of cost of revenue on the consolidated statements of operations and comprehensive loss.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77"/>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36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royalty and milestone payments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72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right"/>
              <w:ind w:right="560"/>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237"/>
              <w:spacing w:after="0" w:line="12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long-term debt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accrual of end of term payments</w:t>
            </w: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Hercules Loan Agreement</w:t>
      </w:r>
    </w:p>
    <w:p>
      <w:pPr>
        <w:spacing w:after="0" w:line="2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Company entered into a Loan and Security Agreement, as most recently amended in August 2023 with Hercules Capital, Inc. (“Hercules Loan Agreement”). The Hercules Loan Agreement provides for an aggregate term loan facility of up to $107.5 million, under which the Company has borrowed an aggregate of $75.0 million of term loans, representing the maximum borrowings as of December 31, 2024. Additional borrowings are available subject to approval of the lender in its sole discretion. During the year ended December 31, 2024, the Company borrowed an additional $20.0 million term loan, which became available based on the achievement of an operational milestone. The Hercules Loan Agreement allows for $32.5 million of additional borrowings, which will be available subject to approval by Hercules in its sole discretion.</w:t>
      </w:r>
    </w:p>
    <w:p>
      <w:pPr>
        <w:spacing w:after="0" w:line="21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 xml:space="preserve">Borrowings under the Hercules Loan Agreement accrue interest at a variable rate equal to the greater of (i) 10.15% or (ii)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prime rate plus 3.15%. In an event of default and until such event is no longer continuing, the interest rate applicable to borrowings would be increased by 4.0%. Borrowings are repayable in monthly interest-only payments through July 1, 2027, which is the maturity date of the loans. At the Company’s option, the Company may prepay all, but not less than all, of the outstanding borrowings, subject to a prepayment premium of 1%. In addition, the Hercules Loan Agreement provides for payment of end-of-term fees of $2.8 million plus 3.5% of the aggregate principal amount of loans drawn, if any, subsequent to the Amendment, payable upon the earlier of maturity or the repayment in full of all obligations under the Hercules Loan Agreement. Borrowings under the Hercules Loan Agreement are collateralized by substantially all of the Company’s personal property and other assets except for its intellectual property (but including rights to payment and proceeds from the sale, licensing or disposition of the intellectual property).</w:t>
      </w:r>
    </w:p>
    <w:p>
      <w:pPr>
        <w:spacing w:after="0" w:line="21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Under the Hercules Loan Agreement, the Company has agreed to affirmative and negative covenants. The Company must maintain cash in an account or accounts in which Hercules has a first priority security interest (“Qualified Cash”) in an aggregate amount equal to at least 20% of the aggregate principal amount of loans outstanding under the Hercules Loan Agreement, which equals $15.0 million as of the issuance of these consolidated financial statements. The Company must also continue to achieve a financial covenant (“Performance Covenant”), which includes maintaining a trailing six-month net product revenue of at least 55% of its forecast as approved by the Company’s Board of Directors. Such Performance Covenant is waived during any period in which:</w:t>
      </w:r>
    </w:p>
    <w:p>
      <w:pPr>
        <w:ind w:left="1520" w:right="500" w:hanging="242"/>
        <w:spacing w:after="0" w:line="251" w:lineRule="auto"/>
        <w:tabs>
          <w:tab w:leader="none" w:pos="14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Qualified Cash in an aggregate amount equal to at least 75% of loans outstanding under the Hercules Loan Agreement or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ind w:left="1520" w:right="100" w:hanging="242"/>
        <w:spacing w:after="0" w:line="274" w:lineRule="auto"/>
        <w:tabs>
          <w:tab w:leader="none" w:pos="15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(x) the Company maintains a Market Capitalization (as defined in the Hercules Loan Agreement) of at least $450.0 million and (y) the Company maintains Qualified Cash in an aggregate amount equal to at least 45% of loans outstanding.</w:t>
      </w:r>
    </w:p>
    <w:p>
      <w:pPr>
        <w:spacing w:after="0" w:line="190"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8"/>
          <w:szCs w:val="18"/>
          <w:color w:val="auto"/>
        </w:rPr>
        <w:t>The Hercules Loan Agreement also restricts the Company’s ability to incur additional indebtedness, pay dividends, encumber its intellectual property, or engage in certain fundamental business transactions, such as mergers or acquisitions of other businesses, with certain exceptions.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interest expense under the Hercules Loan Agreement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r>
      <w:tr>
        <w:trPr>
          <w:trHeight w:val="205"/>
        </w:trPr>
        <w:tc>
          <w:tcPr>
            <w:tcW w:w="59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31"/>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bl>
    <w:p>
      <w:pPr>
        <w:spacing w:after="0" w:line="30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annual effective interest rate on the Hercules Loan Agreement as of December 31, 2024 was 11.7%. There were no principal payments due or paid under the Hercules Loan Agreement during the year ended December 31, 2024. End-of-term payments of $2.1 million were paid during the year ended December 31, 2023 in accordance with the Hercules Loan Agreement.</w:t>
      </w:r>
    </w:p>
    <w:p>
      <w:pPr>
        <w:spacing w:after="0" w:line="284"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color w:val="auto"/>
        </w:rPr>
        <w:t>As of December 31, 2024, future principal payments and accrued end-of-term payments due under the Hercules Loan Agreement were as follows (in thousands):</w:t>
      </w:r>
    </w:p>
    <w:tbl>
      <w:tblPr>
        <w:tblLayout w:type="fixed"/>
        <w:tblInd w:w="0" w:type="dxa"/>
        <w:tblCellMar>
          <w:top w:w="0" w:type="dxa"/>
          <w:left w:w="0" w:type="dxa"/>
          <w:bottom w:w="0" w:type="dxa"/>
          <w:right w:w="0" w:type="dxa"/>
        </w:tblCellMar>
      </w:tblPr>
      <w:tr>
        <w:trPr>
          <w:trHeight w:val="18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60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Long-term debt, including end-of-term payments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40" w:type="dxa"/>
            <w:vAlign w:val="bottom"/>
            <w:vMerge w:val="continue"/>
          </w:tcPr>
          <w:p>
            <w:pPr>
              <w:spacing w:after="0"/>
              <w:rPr>
                <w:sz w:val="17"/>
                <w:szCs w:val="17"/>
                <w:color w:val="auto"/>
              </w:rPr>
            </w:pPr>
          </w:p>
        </w:tc>
        <w:tc>
          <w:tcPr>
            <w:tcW w:w="600" w:type="dxa"/>
            <w:vAlign w:val="bottom"/>
            <w:tcBorders>
              <w:bottom w:val="single" w:sz="8" w:color="auto"/>
            </w:tcBorders>
          </w:tcPr>
          <w:p>
            <w:pPr>
              <w:jc w:val="right"/>
              <w:ind w:right="392"/>
              <w:spacing w:after="0" w:line="198"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76,076</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13"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18"/>
          <w:szCs w:val="18"/>
          <w:color w:val="auto"/>
        </w:rPr>
        <w:t xml:space="preserve">The Company has lease agreements for its facilities in Boston, Massachusetts, which is the Company’s principal executive offices, and in Vienna, Austria, which is the Company’s research and development center. There are no restrictions or financial covenants associated with any of the lease agreements.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Boston Lease</w:t>
      </w:r>
      <w:r>
        <w:rPr>
          <w:rFonts w:ascii="Times New Roman" w:cs="Times New Roman" w:eastAsia="Times New Roman" w:hAnsi="Times New Roman"/>
          <w:sz w:val="18"/>
          <w:szCs w:val="18"/>
          <w:color w:val="auto"/>
        </w:rPr>
        <w:t>— The Company leases approximately 28,000 square feet of office space in Boston, Massachusetts (“Boston Lease”), which serves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headquarters. Base rental payments are approximately $1.1 million annually, plus certain operating expenses. The term of the Boston Lease will continue until November 2026, unless earlier terminated. The Company has the right to renew the Boston Lease for an additional five years at the then prevailing effective market rental rate. The Company is required to maintain a security deposit in the form of a letter of credit for $0.6 million for the benefit of the landlord.</w:t>
      </w:r>
    </w:p>
    <w:p>
      <w:pPr>
        <w:spacing w:after="0" w:line="309"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 xml:space="preserve">Vienna Austria Leases— </w:t>
      </w:r>
      <w:r>
        <w:rPr>
          <w:rFonts w:ascii="Times New Roman" w:cs="Times New Roman" w:eastAsia="Times New Roman" w:hAnsi="Times New Roman"/>
          <w:sz w:val="17"/>
          <w:szCs w:val="17"/>
          <w:color w:val="auto"/>
        </w:rPr>
        <w:t>The Company has an operating lease for approximately 1,200 square meters of laboratory and office space in Vienna, Austria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(“Vienna Lease”), which commenced in February 2021 for a term of seven years. The annual base rent for the Vienna Lease is approximately $272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years ended December 31, 2024, 2023 and 2022 were as follows (dollar 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6"/>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40" w:type="dxa"/>
            <w:vAlign w:val="bottom"/>
            <w:tcBorders>
              <w:top w:val="single" w:sz="8" w:color="auto"/>
              <w:bottom w:val="single" w:sz="8" w:color="auto"/>
            </w:tcBorders>
          </w:tcPr>
          <w:p>
            <w:pPr>
              <w:spacing w:after="0"/>
              <w:rPr>
                <w:sz w:val="17"/>
                <w:szCs w:val="17"/>
                <w:color w:val="auto"/>
              </w:rPr>
            </w:pPr>
          </w:p>
        </w:tc>
      </w:tr>
      <w:tr>
        <w:trPr>
          <w:trHeight w:val="212"/>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operating lease cost</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2,080</w:t>
            </w:r>
          </w:p>
        </w:tc>
      </w:tr>
      <w:tr>
        <w:trPr>
          <w:trHeight w:val="218"/>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2,080</w:t>
            </w:r>
          </w:p>
        </w:tc>
      </w:tr>
      <w:tr>
        <w:trPr>
          <w:trHeight w:val="23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1,385</w:t>
            </w:r>
          </w:p>
        </w:tc>
        <w:tc>
          <w:tcPr>
            <w:tcW w:w="12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1,354</w:t>
            </w: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 years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3.2 years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196</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due under lease agreements that have commenced as of December 31, 2024 are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4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5"/>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5"/>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25"/>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December 31, 2024</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has agreements with contract research organizations (“CROs”) pursuant to which the Company and the CROs are conducting clinical trials. The Company may terminate these agreements by providing notice pursuant to the contractual provisions of such agreements and would incur early termination fees. The Company has agreements with contract manufacturing organizations (“CMOs”) for the production of mavorixafor for use in clinical trials and for the commercial supply of XOLREMDI. The Company’s agreement with the CMO who produces batches of drug substance for use in the Company’s clinical and commercial drug supply contains cancellation provisions that would require the Company to pay up to the full contract value upon cancellation. As of December 31, 2024, the Company has approximately $1.9 million of such commitments in place subject to cancellation provisions.</w:t>
      </w:r>
    </w:p>
    <w:p>
      <w:pPr>
        <w:spacing w:after="0" w:line="181"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 Agreements— </w:t>
      </w:r>
      <w:r>
        <w:rPr>
          <w:rFonts w:ascii="Times New Roman" w:cs="Times New Roman" w:eastAsia="Times New Roman" w:hAnsi="Times New Roman"/>
          <w:sz w:val="18"/>
          <w:szCs w:val="18"/>
          <w:color w:val="auto"/>
        </w:rPr>
        <w:t>See Note 3 for a summary of the Company’s license agreements, which commit the Company to contingent milestone and royalty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future operational events.</w:t>
      </w:r>
    </w:p>
    <w:p>
      <w:pPr>
        <w:spacing w:after="0" w:line="19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Agreements— </w:t>
      </w:r>
      <w:r>
        <w:rPr>
          <w:rFonts w:ascii="Times New Roman" w:cs="Times New Roman" w:eastAsia="Times New Roman" w:hAnsi="Times New Roman"/>
          <w:sz w:val="18"/>
          <w:szCs w:val="18"/>
          <w:color w:val="auto"/>
        </w:rPr>
        <w:t>In the ordinary course of business, the Company may provide indemnification of varying scope and terms to vendors, lessors,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to, among other things,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 obligations. The Company is not currently aware of any indemnification claims and has not accrued any liabilities related to such obligations in its consolidated financial statements as of December 31, 2024 or December 31, 2023.</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color w:val="auto"/>
        </w:rPr>
        <w:t>— The Company is not a party to any litigation and does not have contingency reserves established for any litigation liabilities. At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any legal proceedings.</w:t>
      </w:r>
    </w:p>
    <w:p>
      <w:pPr>
        <w:spacing w:after="0" w:line="2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 AND PREFERRED STOCK</w:t>
      </w:r>
    </w:p>
    <w:p>
      <w:pPr>
        <w:spacing w:after="0" w:line="24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As of December 31, 2024, the Company’s Certificate of Incorporation, as amended and restated, authorizes the Company to issue 500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shares of $0.001 par value common stock.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if any. No cash dividends have been declared or paid to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Lincoln Park Capital Fund Purchase Agreement</w:t>
      </w:r>
    </w:p>
    <w:p>
      <w:pPr>
        <w:spacing w:after="0" w:line="1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On January 14, 2022, the Company and Lincoln Park Capital Fund, LLC (“Lincoln Park”) entered into a securities purchase agreement (the “LPC Purchase Agreement”) and a registration rights agreement (the “Registration Rights Agreement”), pursuant to which the Company has the right to sell shares of common stock to Lincoln Park, having an aggregate value of up to $50.0 million, subject to certain limitations and conditions set forth in the LPC Purchase Agreement, at the Company’s request from time to time during the 36-month term of the LPC Purchase Agreement. In consideration for entering into the LPC Purchase Agreement, the Company issued 230,414 shares of common stock to Lincoln Park as an initial commitment fee. Upon execution of the LPC Purchase Agreement and the Registration Rights Agreement on January 14, 2022, the Company sold to Lincoln Park, as an initial purchase under the LPC Purchase Agreement, a total of 1,382,488 shares of common stock, at a per share price of $2.17 per share, for aggregate consideration of approximately $3.0 million. In accordance with an associated registration rights agreement, the Company filed a registration statement covering the resale of these securities in August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2022 PIPE</w:t>
      </w:r>
    </w:p>
    <w:p>
      <w:pPr>
        <w:spacing w:after="0" w:line="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March 3, 2022, the Company entered into a securities purchase agreement pursuant to which it agreed to issue and sell to an investor, in a private placement (the “Q1 2022 PIPE”), 900,000 shares of common stock at a price of $1.80 per share, which represents the volume weighted average price per share of the Company’s common stock as quoted on the Nasdaq Stock Market for the thirty (30) consecutive-day trading day period ending on March 2, 2022, and pre-funded warrants to purchase 766,666 shares of common stock at a purchase price of $1.79 per pre-funded warrant (representing the price of $1.80 per share minus the $0.01 per share exercise price of each such prefunded warrant). The pre-funded warrants are exercisable at any time after their original issuance date and will have no expiration date. The Q1 2022 PIPE closed on March 7, 2022 and the Company received gross proceeds of $3.0 million, before deducting offering expenses payable by the Company. In accordance with an associated registration rights agreement, the Company filed a registration statement covering the resale of these securities in April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2022 PIPE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30, 2022, the Company entered into a securities purchase agreement with several institutional and accredited investors pursuant to which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agreed to issue in a private placement (the “Q2 2022 PIPE”) an aggregate of 37,649,086 shares of common stock and, to certain investors, in lieu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pre-funded warrants to purchase an aggregate of 13,276,279 shares of common stock at a price of $1.095 per share of common stock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$1.094 per pre-funded warrant) and 50,925,365 warrants for the purchase of shares of common stock. Each warrant has an exercise price equal to $1.095 per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and will expire on the date that is 60 months from their original issue date. The price per pre-funded warrant represents the price of $1.095 per share sold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Q2 2022 PIPE, minus the $0.001 per share exercise price of each such pre-funded warrant. The pre-funded warrants are exercisable, subject to certain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restrictions, at any time after their original issuance and will not expire. The Q2 2022 PIPE closed on July 6, 2022 and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gross proceeds of $55.7 million, before deducting offering expenses paid by the Company.</w:t>
      </w:r>
    </w:p>
    <w:p>
      <w:pPr>
        <w:spacing w:after="0" w:line="224"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exercise of the warrants issued in the Q2 2022 PIPE was conditioned upon the Company increasing its authorized shares. Accordingly, the Company convened a special meeting of its stockholders on September 1, 2022, during which the stockholders approved an increase in the number of authorized shares of common stock from 125 million to 500 million pursuant to an amendment to the Company’s Certificate of Incorporation. As of July 6, 2022, due to the shortfall in authorized and available common shares, the Warrants did not meet the criteria required for permanent equity accounting. As a result, the Company allocated $41.2 million of the gross proceeds from the offering to the fair value of the warrants, which was recorded as a warrant liability, and the remaining $13.5 million was allocated to the common shares and pre-funded warrants and recorded as permanent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equity. The fair value of the warrant liability was calculated using the Black-Scholes option valuation model. The Company also allocated a portion of the transaction fees, including commissions and legal fees, to the warrant liability and expensed within other expense, net, approximately $2.9 million of these fees upon the closing of the Q2 2022 PIPE. Upon shareholder approval of the increase to the Company’s authorized shares, the Warrants met all criteria required for permanent equity accounting and, accordingly, the Company remeasured the fair value of the warrant liability through earnings, which resulted in approximately $2.5 million of income included within other (expense) income, net, and reclassified the fair value of the warrant liability to additional paid-in capital.</w:t>
      </w:r>
    </w:p>
    <w:p>
      <w:pPr>
        <w:spacing w:after="0" w:line="21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The Company filed a registration statement on July 29, 2022, which was declared effective by the SEC on August 5, 2022, registering for resale the common shares issued in the Q2 2022 PIPE and the issuance of the shares of common stock underlying the warrants and pre-funded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Public Offering</w:t>
      </w:r>
    </w:p>
    <w:p>
      <w:pPr>
        <w:spacing w:after="0" w:line="2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On December 7, 2022, the Company sold 52,300,000 shares of common stock and, in lieu of common stock, prefunded warrants to purchase 6,800,000 shares of common stock, and accompanying Class C warrants to purchase 32,762,947 shares of its common stock. The common stock was issued at a price to the public of $1.10 per share and the accompanying Class C warrants and prefunded warrants were issued at a price of $1.099 per prefunded warrant and accompanying Class C warrant. The Class C warrants have an exercise price of $1.50, will expire 5 years from the date of issuance, and are immediately exercisable with certain restrictions. The gross proceeds from the offering, which closed on December 9, 2022, were $65.1 million before deducting underwriting discounts and offering expenses.</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concluded that the Class C warrants do not meet the equity contract scope exception under ASC 815-40 as in the event of a fundamental transaction such as a merger certain provisions may require the Company to adjust the settlement value that is not consistent with a fixed-for-fixed option pricing model. As a result, as of issuance date, the Company allocated $21.5 million of the gross proceeds from the offering to the Class C Warrants based on their fair value, which was recorded as a warrant liability, and the remaining $43.6 million was allocated to the common shares and pre-funded warrants and recorded as permanent equity. The Class C warrant liability has been subsequently adjusted to fair value at December 31, 2022 and will be adjusted to fair value at each subsequent balance sheet date until the warrants are settled. Changes in fair value of the Class C warrants are recognized as a component of other (expense) income, net, in the consolidated statements of operations and comprehensive loss.</w:t>
      </w:r>
    </w:p>
    <w:p>
      <w:pPr>
        <w:spacing w:after="0" w:line="21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The fair value of the Class C warrant liability is calculated using the Black-Scholes option valuation model as further described in Note 5. The Company also allocated a portion of the transaction fees, including commissions and legal fees, to the Class C Warrant liability and expensed within other expense, net, approximately $1.7 million of these fees upon the closing of the Q4 2022 Public Offering.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2023 PIPE</w:t>
      </w:r>
    </w:p>
    <w:p>
      <w:pPr>
        <w:spacing w:after="0" w:line="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May 15, 2023, the Company entered into a securities purchase agreement pursuant to which it agreed to issue and sell to several institutional and accredited investors in a private placement (the “Q2 2023 PIPE”), 34,521,046 shares of common stock at a price of $1.52 per share and pre-funded warrants to purchase 8,263,157 shares of common stock at a purchase price of $1.519 per pre-funded warrant (representing the price of $1.52 per share minus the $0.001 per share exercise price of each such prefunded warrant). The pre-funded warrants are exercisable, subject to certain beneficial ownership restrictions, at any time after their original issuance and will not expire. The Q2 2023 PIPE closed on May 18, 2023. The Company received gross proceeds of $65.0 million, before deducting offering expenses paid by the Company. The Company filed a registration statement on June 9, 2023, which was declared effective by the SEC on June 20, 2023, registering for resale the common shares issued in the Q2 2023 PIPE and the issuance of the shares of common stock underlying the pre-funded warrants.</w:t>
      </w:r>
    </w:p>
    <w:p>
      <w:pPr>
        <w:spacing w:after="0" w:line="214"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As of December 31, 2024, the Company’s Certificate of Incorporation, as amended and restated, authorizes the Company to issue 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shares of $0.001 par value share. As of December 31, 2024 and December 31, 2023, no shares of preferred stock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COMMON STOCK WARRANTS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Q2 2022 PIPE Warrants</w:t>
      </w:r>
    </w:p>
    <w:p>
      <w:pPr>
        <w:spacing w:after="0" w:line="28"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In connection with its issuance of common stock and prefunded warrants in a private placement that closed on July 6, 2022, the Company issued warrants to purchase an aggregate of 50,925,365 warrants (the “Warrants”) for the purchase of shares of common stock. Each Warrant has an exercise price equal to $1.095 per share and will expire on the date that is 60 months from their original issue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C Warrants</w:t>
      </w:r>
    </w:p>
    <w:p>
      <w:pPr>
        <w:spacing w:after="0" w:line="28"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8"/>
          <w:szCs w:val="18"/>
          <w:color w:val="auto"/>
        </w:rPr>
        <w:t>In connection with its issuance of common stock in public offerings that closed on December 9, 2022, the Company issued 65,525,894 Class C warrants, which are exercisable at two Class C warrants for one share of the Company’s common stock or prefunded warrants to purchase shares of the Company’s common stock. The Class C warrants have an exercise price of $1.50 per set of two Class C warrants, expire on December 9, 2027 and were immediately exercisable upon issuance.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In connection with the sale of its common stock in public offerings and private placements, the Company has issued pre-funded warrants to purchase shares of its common stock. The price per pre-funded warrant represents the price per share sold in the public offering or private placement, minus a nominal exercise price of either $0.001 or $0.01 per share, in accordance with the applicable pre-funded warrant agreement. The pre-funded warrants are exercisable, subject to certain beneficial ownership restrictions, at any time after their original issuance and will not expire.</w:t>
      </w:r>
    </w:p>
    <w:p>
      <w:pPr>
        <w:spacing w:after="0" w:line="8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The following table provides a roll forward of outstanding warrants and pre-funded warrants for the purchase of shares of the Company’s common stock for the three years ended December 31, 2024:</w:t>
      </w:r>
    </w:p>
    <w:tbl>
      <w:tblPr>
        <w:tblLayout w:type="fixed"/>
        <w:tblInd w:w="0" w:type="dxa"/>
        <w:tblCellMar>
          <w:top w:w="0" w:type="dxa"/>
          <w:left w:w="0" w:type="dxa"/>
          <w:bottom w:w="0" w:type="dxa"/>
          <w:right w:w="0" w:type="dxa"/>
        </w:tblCellMar>
      </w:tblPr>
      <w:tr>
        <w:trPr>
          <w:trHeight w:val="169"/>
        </w:trPr>
        <w:tc>
          <w:tcPr>
            <w:tcW w:w="4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2"/>
        </w:trPr>
        <w:tc>
          <w:tcPr>
            <w:tcW w:w="4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59"/>
        </w:trPr>
        <w:tc>
          <w:tcPr>
            <w:tcW w:w="4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86"/>
        </w:trPr>
        <w:tc>
          <w:tcPr>
            <w:tcW w:w="46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 (Years)</w:t>
            </w:r>
          </w:p>
        </w:tc>
      </w:tr>
      <w:tr>
        <w:trPr>
          <w:trHeight w:val="38"/>
        </w:trPr>
        <w:tc>
          <w:tcPr>
            <w:tcW w:w="4640" w:type="dxa"/>
            <w:vAlign w:val="bottom"/>
            <w:tcBorders>
              <w:bottom w:val="single" w:sz="8" w:color="CCEEFF"/>
            </w:tcBorders>
          </w:tcPr>
          <w:p>
            <w:pPr>
              <w:spacing w:after="0"/>
              <w:rPr>
                <w:sz w:val="3"/>
                <w:szCs w:val="3"/>
                <w:color w:val="auto"/>
              </w:rPr>
            </w:pPr>
          </w:p>
        </w:tc>
        <w:tc>
          <w:tcPr>
            <w:tcW w:w="19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December 31, 2021</w:t>
            </w:r>
          </w:p>
        </w:tc>
        <w:tc>
          <w:tcPr>
            <w:tcW w:w="19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5"/>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104,531,257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5"/>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(5,416,567)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8"/>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December 31, 2022</w:t>
            </w:r>
          </w:p>
        </w:tc>
        <w:tc>
          <w:tcPr>
            <w:tcW w:w="19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111,871,750</w:t>
            </w:r>
          </w:p>
        </w:tc>
        <w:tc>
          <w:tcPr>
            <w:tcW w:w="380" w:type="dxa"/>
            <w:vAlign w:val="bottom"/>
            <w:tcBorders>
              <w:top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5"/>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8,263,157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December 31, 2023</w:t>
            </w:r>
          </w:p>
        </w:tc>
        <w:tc>
          <w:tcPr>
            <w:tcW w:w="192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112,659,093</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5"/>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(3,866,154)</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December 31, 2024</w:t>
            </w:r>
          </w:p>
        </w:tc>
        <w:tc>
          <w:tcPr>
            <w:tcW w:w="19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108,792,939</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0"/>
        </w:trPr>
        <w:tc>
          <w:tcPr>
            <w:tcW w:w="4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882"/>
        </w:trPr>
        <w:tc>
          <w:tcPr>
            <w:tcW w:w="4640" w:type="dxa"/>
            <w:vAlign w:val="bottom"/>
          </w:tcPr>
          <w:p>
            <w:pPr>
              <w:spacing w:after="0"/>
              <w:rPr>
                <w:sz w:val="24"/>
                <w:szCs w:val="24"/>
                <w:color w:val="auto"/>
              </w:rPr>
            </w:pPr>
          </w:p>
        </w:tc>
        <w:tc>
          <w:tcPr>
            <w:tcW w:w="3420" w:type="dxa"/>
            <w:vAlign w:val="bottom"/>
            <w:gridSpan w:val="2"/>
          </w:tcPr>
          <w:p>
            <w:pPr>
              <w:jc w:val="right"/>
              <w:ind w:right="2175"/>
              <w:spacing w:after="0"/>
              <w:rPr>
                <w:sz w:val="20"/>
                <w:szCs w:val="20"/>
                <w:color w:val="auto"/>
              </w:rPr>
            </w:pPr>
            <w:r>
              <w:rPr>
                <w:rFonts w:ascii="Times New Roman" w:cs="Times New Roman" w:eastAsia="Times New Roman" w:hAnsi="Times New Roman"/>
                <w:sz w:val="18"/>
                <w:szCs w:val="18"/>
                <w:color w:val="auto"/>
              </w:rPr>
              <w:t>F-29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1"/>
        </w:trPr>
        <w:tc>
          <w:tcPr>
            <w:tcW w:w="46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Company’s outstanding warrants and pre-funded warrants to purchase shares of common stock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40" w:type="dxa"/>
            <w:vAlign w:val="bottom"/>
          </w:tcPr>
          <w:p>
            <w:pPr>
              <w:spacing w:after="0"/>
              <w:rPr>
                <w:sz w:val="16"/>
                <w:szCs w:val="16"/>
                <w:color w:val="auto"/>
              </w:rPr>
            </w:pPr>
          </w:p>
        </w:tc>
        <w:tc>
          <w:tcPr>
            <w:tcW w:w="256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Number of Shares of Common</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0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186"/>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Stock Issuable</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8"/>
        </w:trPr>
        <w:tc>
          <w:tcPr>
            <w:tcW w:w="2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r>
      <w:tr>
        <w:trPr>
          <w:trHeight w:val="23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25, 2016</w:t>
            </w:r>
          </w:p>
        </w:tc>
        <w:tc>
          <w:tcPr>
            <w:tcW w:w="140" w:type="dxa"/>
            <w:vAlign w:val="bottom"/>
            <w:shd w:val="clear" w:color="auto" w:fill="CCEEFF"/>
          </w:tcPr>
          <w:p>
            <w:pPr>
              <w:spacing w:after="0"/>
              <w:rPr>
                <w:sz w:val="20"/>
                <w:szCs w:val="20"/>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October 24, 2026</w:t>
            </w:r>
          </w:p>
        </w:tc>
      </w:tr>
      <w:tr>
        <w:trPr>
          <w:trHeight w:val="23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28, 2017</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30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28, 2027</w:t>
            </w:r>
          </w:p>
        </w:tc>
      </w:tr>
      <w:tr>
        <w:trPr>
          <w:trHeight w:val="24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12, 2018</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September 12, 2028</w:t>
            </w:r>
          </w:p>
        </w:tc>
      </w:tr>
      <w:tr>
        <w:trPr>
          <w:trHeight w:val="23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19, 2018</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300" w:type="dxa"/>
            <w:vAlign w:val="bottom"/>
          </w:tcPr>
          <w:p>
            <w:pPr>
              <w:spacing w:after="0"/>
              <w:rPr>
                <w:sz w:val="20"/>
                <w:szCs w:val="20"/>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October 19, 2028</w:t>
            </w:r>
          </w:p>
        </w:tc>
      </w:tr>
      <w:tr>
        <w:trPr>
          <w:trHeight w:val="241"/>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18, 2019</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March 17, 2029</w:t>
            </w:r>
          </w:p>
        </w:tc>
      </w:tr>
      <w:tr>
        <w:trPr>
          <w:trHeight w:val="22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29, 2019</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t>
            </w: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8"/>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23, 2021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w:t>
            </w: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9, 2021</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2,008,032</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w:t>
            </w: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 2022</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766,666</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w:t>
            </w: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6, 2022</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13,276,279</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w:t>
            </w: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6, 2022</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44,075,050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300" w:type="dxa"/>
            <w:vAlign w:val="bottom"/>
            <w:shd w:val="clear" w:color="auto" w:fill="CCEEFF"/>
          </w:tcPr>
          <w:p>
            <w:pPr>
              <w:spacing w:after="0"/>
              <w:rPr>
                <w:sz w:val="19"/>
                <w:szCs w:val="19"/>
                <w:color w:val="auto"/>
              </w:rPr>
            </w:pP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July 6, 2027</w:t>
            </w:r>
          </w:p>
        </w:tc>
      </w:tr>
      <w:tr>
        <w:trPr>
          <w:trHeight w:val="225"/>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9, 2022</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32,137,448</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9, 2027</w:t>
            </w:r>
          </w:p>
        </w:tc>
      </w:tr>
      <w:tr>
        <w:trPr>
          <w:trHeight w:val="22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9, 2022</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6,800,000</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w:t>
            </w:r>
          </w:p>
        </w:tc>
        <w:tc>
          <w:tcPr>
            <w:tcW w:w="2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5"/>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May 18, 2023</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8,263,157</w:t>
            </w:r>
          </w:p>
        </w:tc>
        <w:tc>
          <w:tcPr>
            <w:tcW w:w="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(g)</w:t>
            </w:r>
          </w:p>
        </w:tc>
        <w:tc>
          <w:tcPr>
            <w:tcW w:w="2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n/a</w:t>
            </w:r>
          </w:p>
        </w:tc>
      </w:tr>
      <w:tr>
        <w:trPr>
          <w:trHeight w:val="228"/>
        </w:trPr>
        <w:tc>
          <w:tcPr>
            <w:tcW w:w="2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108,792,939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640" w:right="40" w:firstLine="2"/>
        <w:spacing w:after="0" w:line="252" w:lineRule="auto"/>
        <w:tabs>
          <w:tab w:leader="none" w:pos="856"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November 2019, the Company received $11.999 per pre-funded warrant, or $21.0 million in aggregate proceeds. Each pre-funded warrant may be exercised for an additional $0.001 per pre-funded warrant; (b) In March 2021, the Company received $8.69 per pre-funded warrant, or $435 thousand in aggregate proceeds. Each pre-funded warrant may be exercised for an additional $0.01 per pre-funded warrant; (c) In November 2021, the Company received $4.97 per pre-funded warrant, or $10.0 million in aggregate proceeds. Each pre-funded warrant may be exercised for an additional $0.01 per pre-funded warrant; (d) In March 2022, the Company received $1.79 per pre-funded warrant, or $1.40 million in aggregate proceeds. Each pre-funded warrant may be exercised for an additional $0.01 per pre-funded warrant; </w:t>
      </w:r>
      <w:r>
        <w:rPr>
          <w:rFonts w:ascii="Arial" w:cs="Arial" w:eastAsia="Arial" w:hAnsi="Arial"/>
          <w:sz w:val="16"/>
          <w:szCs w:val="16"/>
          <w:color w:val="auto"/>
        </w:rPr>
        <w:t>(</w:t>
      </w:r>
      <w:r>
        <w:rPr>
          <w:rFonts w:ascii="Times New Roman" w:cs="Times New Roman" w:eastAsia="Times New Roman" w:hAnsi="Times New Roman"/>
          <w:sz w:val="16"/>
          <w:szCs w:val="16"/>
          <w:color w:val="auto"/>
        </w:rPr>
        <w:t>e) In July 2022, the Company received $1.094 per pre-funded warrant, or $14.5 million in aggregate proceeds. Each pre-funded warrant may be exercised for an additional $0.001 per pre-funded warrant; and (f) In December 2022, the Company received $1.099 per pre-funded warrant, or $7.5 million in aggregate proceeds. Each pre-funded warrant may be exercised for an additional $0.001 per pre-funded warrant; and (g) In May 2023, the Company received $1.519 per prefunded warrant, or $12.6 million in aggregate proceeds. Each pre-funded warrant may be exercised for an additional $0.001 per pre-funded warrant.</w:t>
      </w:r>
    </w:p>
    <w:p>
      <w:pPr>
        <w:spacing w:after="0" w:line="200" w:lineRule="exact"/>
        <w:rPr>
          <w:rFonts w:ascii="Times New Roman" w:cs="Times New Roman" w:eastAsia="Times New Roman" w:hAnsi="Times New Roman"/>
          <w:sz w:val="16"/>
          <w:szCs w:val="16"/>
          <w:color w:val="auto"/>
        </w:rPr>
      </w:pPr>
    </w:p>
    <w:p>
      <w:pPr>
        <w:spacing w:after="0" w:line="319"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Summary of Plans— </w:t>
      </w:r>
      <w:r>
        <w:rPr>
          <w:rFonts w:ascii="Times New Roman" w:cs="Times New Roman" w:eastAsia="Times New Roman" w:hAnsi="Times New Roman"/>
          <w:sz w:val="18"/>
          <w:szCs w:val="18"/>
          <w:color w:val="auto"/>
        </w:rPr>
        <w:t>The Company issues stock awards under the following plans: (a) The 2015 Employee, Director and Consultant Equity Incentive Plan,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“2015 Plan”), (b) the Amended and Restated 2017 Equity Incentive Plan (the “2017 Plan”), (c) the Amended and Restated 2017 Employee Stock Purchase Plan (the “2017 ESPP”) and the 2019 Inducement Equity Incentive Plan (the “2019 Plan”).</w:t>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These plans are administered by the Board of Directors or by a committee thereof. The exercise prices, vesting and other restrictions are determined at the discretion of the Board of Directors, or its committee if so delegated, except that the exercise price per share of stock options may not be less than 100% of the fair market value of the share of common stock on the date of grant and the term of the stock option may not be greater than ten years. Incentive stock options granted to employees and restricted stock awards granted to employees, officers, members of the Board of Directors, advisors, and consultants of the Company typically vest over four years. Non-statutory options granted to employees, officers, members of the Board of Directors, advisors, and consultants of the Company typically vest over three or four years. Shares that are expired, terminated, surrendered or canceled under the Plans without having been fully exercised will be available for future awards. In addition, shares of common stock that are tendered to the Company by a participant to exercise an award are added to the number of shares of common stock available for the grant of awards.</w:t>
      </w:r>
    </w:p>
    <w:p>
      <w:pPr>
        <w:spacing w:after="0" w:line="18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2015 Employee, Director and Consultant Equity Incentive Plan—</w:t>
      </w:r>
      <w:r>
        <w:rPr>
          <w:rFonts w:ascii="Times New Roman" w:cs="Times New Roman" w:eastAsia="Times New Roman" w:hAnsi="Times New Roman"/>
          <w:sz w:val="18"/>
          <w:szCs w:val="18"/>
          <w:color w:val="auto"/>
        </w:rPr>
        <w:t>Under the 2015 Plan, the Company grants incentive stock options, nonqualified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awards and other stock-based awards to employees, directors and consultants of the Company. As of December 31, 2024, there were approximately 66 thousand shares available for issuance under the 2015</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Plan. The 2015 Plan expired in January 2025 and, therefore, no further awards may be issued from the 2015 Plan. Outstanding stock options issued under the 2015 Plan may be exercised subject to the vesting and expiration provisions of such award. As of December 31, 2024, there are no outstanding restricted stock units that were issued under the 2015 Plan.</w:t>
      </w:r>
    </w:p>
    <w:p>
      <w:pPr>
        <w:spacing w:after="0" w:line="174"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 xml:space="preserve">2017 Equity Incentive Plan— </w:t>
      </w:r>
      <w:r>
        <w:rPr>
          <w:rFonts w:ascii="Times New Roman" w:cs="Times New Roman" w:eastAsia="Times New Roman" w:hAnsi="Times New Roman"/>
          <w:sz w:val="17"/>
          <w:szCs w:val="17"/>
          <w:color w:val="auto"/>
        </w:rPr>
        <w:t>Under the 2017 Plan, the Company may grant incentive stock options, non-qualified options, stock appreciation rights,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stock awards, restricted stock units and other stock-based awards. Under an “evergreen” provision of the 2017 Plan, shares of common stock</w:t>
      </w:r>
    </w:p>
    <w:p>
      <w:pPr>
        <w:ind w:right="20"/>
        <w:spacing w:after="0" w:line="274" w:lineRule="auto"/>
        <w:rPr>
          <w:sz w:val="20"/>
          <w:szCs w:val="20"/>
          <w:color w:val="auto"/>
        </w:rPr>
      </w:pPr>
      <w:r>
        <w:rPr>
          <w:rFonts w:ascii="Times New Roman" w:cs="Times New Roman" w:eastAsia="Times New Roman" w:hAnsi="Times New Roman"/>
          <w:sz w:val="17"/>
          <w:szCs w:val="17"/>
          <w:color w:val="auto"/>
        </w:rPr>
        <w:t>reserved for issuance under the 2017 Plan are increased annually on the first day of each year, beginning on January 1, 2021 and ending on January 1, 2027, in an amount equal to the lower of 4.0% of the number of shares of the Company’s common stock outstanding on January 1 of each year or an amount determined by the Company’s Board of Directors. As of December 31, 2024, approximately 562 thousand shares were available for future issuance under the 2017 Plan. As of January 1, 2025, an additional 6.8 million shares became available for future issuance under the 2017 Plan under the evergreen provision.</w:t>
      </w:r>
    </w:p>
    <w:p>
      <w:pPr>
        <w:spacing w:after="0" w:line="1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2017 Employee Stock Purchase Plan— </w:t>
      </w:r>
      <w:r>
        <w:rPr>
          <w:rFonts w:ascii="Times New Roman" w:cs="Times New Roman" w:eastAsia="Times New Roman" w:hAnsi="Times New Roman"/>
          <w:sz w:val="18"/>
          <w:szCs w:val="18"/>
          <w:color w:val="auto"/>
        </w:rPr>
        <w:t>The 2017 ESPP provides participating employees with the opportunity to purchase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common stock at defined purchase prices over six-month offering periods. For the twelve months ended December 31, 2024, 635,542 shares of common stock were issued under the 2017 ESPP. As of December 31, 2024, approximately 4.3 million shares were available for future issuance under the 2017 ESPP.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2019 Inducement Equity Incentive Plan— </w:t>
      </w:r>
      <w:r>
        <w:rPr>
          <w:rFonts w:ascii="Times New Roman" w:cs="Times New Roman" w:eastAsia="Times New Roman" w:hAnsi="Times New Roman"/>
          <w:sz w:val="18"/>
          <w:szCs w:val="18"/>
          <w:color w:val="auto"/>
        </w:rPr>
        <w:t>On June 17, 2019, the Board of Directors approved the adoption of the 2019 Plan, as amended, which is used</w:t>
      </w:r>
    </w:p>
    <w:p>
      <w:pPr>
        <w:spacing w:after="0" w:line="2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color w:val="auto"/>
        </w:rPr>
        <w:t xml:space="preserve">exclusively for the grant of equity awards to individuals who were not previously employees of the Company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or following a bona fide period of non-employment), as an inducement material to such individual’s entering into employment with the Company, pursuant to Nasdaq Listing Rule 5635(c)(4). The total number of shares of common stock that may be issued under the 2019 Plan, as amended, is 13.3 million shares. Shares that are expired, forfeited, canceled or otherwise terminated without having been fully exercised will be available for future grant under the 2019 Plan. In addition, shares of common stock that are tendered to the Company by a participant to exercise an award are added to the number of shares of common stock available for future grants. As of December 31, 2024, approximately 3.1 million shares were available for future issuance under the 2019 Plan.</w:t>
      </w:r>
    </w:p>
    <w:p>
      <w:pPr>
        <w:spacing w:after="0" w:line="293"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Valuation— </w:t>
      </w:r>
      <w:r>
        <w:rPr>
          <w:rFonts w:ascii="Times New Roman" w:cs="Times New Roman" w:eastAsia="Times New Roman" w:hAnsi="Times New Roman"/>
          <w:sz w:val="18"/>
          <w:szCs w:val="18"/>
          <w:color w:val="auto"/>
        </w:rPr>
        <w:t>The following table presents, on a weighted average basis, the assumptions used in the Black-Scholes option-pricing model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determine the grant-date fair value of stock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0</wp:posOffset>
            </wp:positionV>
            <wp:extent cx="26416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11430</wp:posOffset>
            </wp:positionV>
            <wp:extent cx="26416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50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3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860" w:type="dxa"/>
            <w:vAlign w:val="bottom"/>
            <w:tcBorders>
              <w:bottom w:val="single" w:sz="8" w:color="CFF0FC"/>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8"/>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93.9 %</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96.0 %</w:t>
            </w:r>
          </w:p>
        </w:tc>
      </w:tr>
      <w:tr>
        <w:trPr>
          <w:trHeight w:val="24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twelve months ended December 31,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72"/>
        </w:trPr>
        <w:tc>
          <w:tcPr>
            <w:tcW w:w="4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4"/>
                <w:szCs w:val="14"/>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4"/>
              </w:rPr>
              <w:t>(in Years)</w:t>
            </w:r>
          </w:p>
        </w:tc>
        <w:tc>
          <w:tcPr>
            <w:tcW w:w="20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1"/>
                <w:szCs w:val="11"/>
                <w:color w:val="auto"/>
              </w:rPr>
              <w:t>(in Thousands)</w:t>
            </w: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6,008,541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6,920,932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11,843,496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16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2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20" w:type="dxa"/>
            <w:vAlign w:val="bottom"/>
            <w:tcBorders>
              <w:top w:val="single" w:sz="8" w:color="CCEEFF"/>
            </w:tcBorders>
            <w:vMerge w:val="continue"/>
          </w:tcPr>
          <w:p>
            <w:pPr>
              <w:spacing w:after="0"/>
              <w:rPr>
                <w:sz w:val="17"/>
                <w:szCs w:val="17"/>
                <w:color w:val="auto"/>
              </w:rPr>
            </w:pPr>
          </w:p>
        </w:tc>
        <w:tc>
          <w:tcPr>
            <w:tcW w:w="16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9,730,725</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7"/>
                <w:szCs w:val="17"/>
                <w:color w:val="auto"/>
              </w:rPr>
            </w:pPr>
          </w:p>
        </w:tc>
        <w:tc>
          <w:tcPr>
            <w:tcW w:w="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620" w:type="dxa"/>
            <w:vAlign w:val="bottom"/>
          </w:tcPr>
          <w:p>
            <w:pPr>
              <w:spacing w:after="0"/>
              <w:rPr>
                <w:sz w:val="24"/>
                <w:szCs w:val="24"/>
                <w:color w:val="auto"/>
              </w:rPr>
            </w:pPr>
          </w:p>
        </w:tc>
        <w:tc>
          <w:tcPr>
            <w:tcW w:w="2840" w:type="dxa"/>
            <w:vAlign w:val="bottom"/>
            <w:gridSpan w:val="2"/>
          </w:tcPr>
          <w:p>
            <w:pPr>
              <w:jc w:val="right"/>
              <w:ind w:right="1578"/>
              <w:spacing w:after="0"/>
              <w:rPr>
                <w:sz w:val="20"/>
                <w:szCs w:val="20"/>
                <w:color w:val="auto"/>
              </w:rPr>
            </w:pPr>
            <w:r>
              <w:rPr>
                <w:rFonts w:ascii="Times New Roman" w:cs="Times New Roman" w:eastAsia="Times New Roman" w:hAnsi="Times New Roman"/>
                <w:sz w:val="18"/>
                <w:szCs w:val="18"/>
                <w:color w:val="auto"/>
              </w:rPr>
              <w:t>F-31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to the extent the stock option had a lower exercise price. The aggregate intrinsic value of stock options exercised during the twelve months ended December 31, 2023 was $1 thousand. There were no options exercised in 2024 and 2022. The weighted average grant-date fair value per share of stock options granted during the years ended December 31, 2024, 2023 and 2022 was $0.74, $0.97, and $1.38, respectively.</w:t>
      </w:r>
    </w:p>
    <w:p>
      <w:pPr>
        <w:spacing w:after="0" w:line="17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During the year ended December 31, 2024, the Company granted 6.3 million restricted stock units to employees and members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at a weighted average grant date fair value of $0.95 per share. Approximately 6.3 million of these awards are performance restricted stock units (the “2024 PRSUs”) and the remainder are time-based and vest as the employee provides services to the Company. The PRSUs vest 50% based on the Company’s achievement of each of two operational milestones conditioned on the grantee’s continued employment with the Company. Although as of December 31, 2024, neither of the two performance criteria had been met, the Company considers the achievement of these operational milestones to be probable. The weighted average grant-date fair value per share of restricted stock units granted during the years ended December 31, 2024, 2023 and 2022 was $0.95, $1.76, and $2.09, respectively.</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has been recognized for awards for which vesting is considered probable using the accelerated attribution model based on the fair value of the awards as of the date of grant and management’s best estimate of the date the probable operational milestone will be achieved. The Company updates its estimates related to the probability and timing of achievement of the operational milestones each period until the award either vests or is forfeited.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for the twelve months ended December 31, 2024 :</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40" w:type="dxa"/>
            <w:vAlign w:val="bottom"/>
          </w:tcPr>
          <w:p>
            <w:pPr>
              <w:spacing w:after="0"/>
              <w:rPr>
                <w:sz w:val="12"/>
                <w:szCs w:val="12"/>
                <w:color w:val="auto"/>
              </w:rPr>
            </w:pPr>
          </w:p>
        </w:tc>
        <w:tc>
          <w:tcPr>
            <w:tcW w:w="146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95"/>
              <w:spacing w:after="0" w:line="14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3,118,824</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5"/>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6,292,459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5"/>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(2,876,806)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(532,652)</w:t>
            </w:r>
          </w:p>
        </w:tc>
        <w:tc>
          <w:tcPr>
            <w:tcW w:w="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6,001,825</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As of December 31, 2024, total unrecognized compensation expense related to unvested stock options and restricted stock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$6.3 million, which is expected to be recognized over a weighted average period of 2.4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consolidated statements of operations and comprehensive loss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Year Ended</w:t>
            </w:r>
          </w:p>
        </w:tc>
        <w:tc>
          <w:tcPr>
            <w:tcW w:w="4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192"/>
        </w:trPr>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14"/>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8"/>
                <w:szCs w:val="18"/>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5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3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43"/>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Appreciation Rights— </w:t>
      </w:r>
      <w:r>
        <w:rPr>
          <w:rFonts w:ascii="Times New Roman" w:cs="Times New Roman" w:eastAsia="Times New Roman" w:hAnsi="Times New Roman"/>
          <w:sz w:val="17"/>
          <w:szCs w:val="17"/>
          <w:color w:val="auto"/>
        </w:rPr>
        <w:t>On November 7, 2022 and February 13, 2024 (the “Grant Dates”), the compensation committee of the Board of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special retention and recognition grants of stock appreciation rights pursuant to the 2017 Plan to the Company’s President and Chief Executive Officer, Chief Financial Officer, and certain other executive officers of the Company. The SARs have a measurement price per SAR equal to $1.80 and $0.92, respectively, which was the closing price per share of the Company’s common stock on the Grant Dates, and each grant of SARs has a maximum term of ten years from the respective Grant Dates. Unless otherwise determined by the Board of Directors, the SARs will be settled in cash upon exercise. The settlement value will be based on the difference between the closing price of the Company’s common stock on the date of settlement less the measurement price multiplied by the number of SARs exercised. The SARs vest and become exercisable in equal annual installments on the first, second, and third anniversaries of the Grant Date, subject to the recipient remaining an employee of the Company through and including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The calculation of the fair value of the outstanding SARs includes the closing price of the Company’s common stock of $0.73 and $0.84 as of December 31, 2024 and December 31, 2023, respectively, and the following assumptions on a weighted average basis: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040" w:type="dxa"/>
            <w:vAlign w:val="bottom"/>
          </w:tcPr>
          <w:p>
            <w:pPr>
              <w:spacing w:after="0"/>
              <w:rPr>
                <w:sz w:val="12"/>
                <w:szCs w:val="12"/>
                <w:color w:val="auto"/>
              </w:rPr>
            </w:pPr>
          </w:p>
        </w:tc>
        <w:tc>
          <w:tcPr>
            <w:tcW w:w="1620" w:type="dxa"/>
            <w:vAlign w:val="bottom"/>
            <w:tcBorders>
              <w:top w:val="single" w:sz="8" w:color="auto"/>
            </w:tcBorders>
          </w:tcPr>
          <w:p>
            <w:pPr>
              <w:jc w:val="center"/>
              <w:ind w:left="603"/>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jc w:val="right"/>
              <w:ind w:right="636"/>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jc w:val="right"/>
              <w:ind w:right="656"/>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40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162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0.99</w:t>
            </w: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97.0 %</w:t>
            </w: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forfeiture rate</w:t>
            </w:r>
          </w:p>
        </w:tc>
        <w:tc>
          <w:tcPr>
            <w:tcW w:w="16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r>
    </w:tbl>
    <w:p>
      <w:pPr>
        <w:spacing w:after="0" w:line="38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SARs are accounted for as liability awards as settlement will be in the form of cash unless the Board of Directors authorizes settlement in shares of the Company’s common stock and such shares are available to be issued from the 2017 Plan. The Company currently intends to settle the SARs in cash if and when exercised. Compensation expense is recorded based the fair value of the SARs, as determined using the Black-Scholes option valuation model, using an accelerated attribution method as the SARs vest. The Company remeasures the fair value of the outstanding SARs each period until settlement and adjusts life-to-date compensation expense to the period end SARs fair value. For the years ended December 31, 2024, 2023 and 2022, the Company recognized $1.2 million, $1.9 million and $0.4 million, respectively, of compensation expense related to the SARs.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SARS activity for the twelve months ended December 31, 2024 :</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6"/>
        </w:trPr>
        <w:tc>
          <w:tcPr>
            <w:tcW w:w="9160" w:type="dxa"/>
            <w:vAlign w:val="bottom"/>
          </w:tcPr>
          <w:p>
            <w:pPr>
              <w:spacing w:after="0"/>
              <w:rPr>
                <w:sz w:val="16"/>
                <w:szCs w:val="16"/>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51"/>
        </w:trPr>
        <w:tc>
          <w:tcPr>
            <w:tcW w:w="916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7,138,335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9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3,273,718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10,412,053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as of December 31, 2024</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160" w:type="dxa"/>
            <w:vAlign w:val="bottom"/>
            <w:vMerge w:val="continue"/>
          </w:tcPr>
          <w:p>
            <w:pPr>
              <w:spacing w:after="0"/>
              <w:rPr>
                <w:sz w:val="17"/>
                <w:szCs w:val="17"/>
                <w:color w:val="auto"/>
              </w:rPr>
            </w:pPr>
          </w:p>
        </w:tc>
        <w:tc>
          <w:tcPr>
            <w:tcW w:w="1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4,092,224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395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34860" cy="395605"/>
                    </a:xfrm>
                    <a:prstGeom prst="rect">
                      <a:avLst/>
                    </a:prstGeom>
                    <a:noFill/>
                  </pic:spPr>
                </pic:pic>
              </a:graphicData>
            </a:graphic>
          </wp:anchor>
        </w:drawing>
      </w:r>
    </w:p>
    <w:p>
      <w:pPr>
        <w:spacing w:after="0" w:line="181" w:lineRule="exact"/>
        <w:rPr>
          <w:sz w:val="20"/>
          <w:szCs w:val="20"/>
          <w:color w:val="auto"/>
        </w:rPr>
      </w:pPr>
    </w:p>
    <w:p>
      <w:pPr>
        <w:ind w:left="20" w:right="400"/>
        <w:spacing w:after="0" w:line="234" w:lineRule="auto"/>
        <w:rPr>
          <w:sz w:val="20"/>
          <w:szCs w:val="20"/>
          <w:color w:val="auto"/>
        </w:rPr>
      </w:pPr>
      <w:r>
        <w:rPr>
          <w:rFonts w:ascii="Times New Roman" w:cs="Times New Roman" w:eastAsia="Times New Roman" w:hAnsi="Times New Roman"/>
          <w:sz w:val="18"/>
          <w:szCs w:val="18"/>
          <w:color w:val="auto"/>
        </w:rPr>
        <w:t>The weighted average grant-date fair value per share of SARs granted during the years ended December 31, 2024 and December 31, 2022 was $0.92 and $0.71 per share, respectively. There were no grants of SARs for the year ended December 31, 2023.</w:t>
      </w:r>
    </w:p>
    <w:p>
      <w:pPr>
        <w:spacing w:after="0" w:line="38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current global income tax provision of $0.3 million, which was comprised of $0.2 million related to U.S. federal income taxes and $0.1 million related to U.S. state and foreign income taxes. Although the Company reported an ordinary pre-tax loss under GAAP for the year ended December 31, 2024, the Company generated taxable income primarily due to a gain on the sale of a priority review voucher (Note 18), which is not fully offset by deductible expenses, including research and development expenses that are not currently deductible under IRC section 174, or available net operating loss and research and development carryforwards. The Company’s Austrian subsidiary and its Massachusetts Security Corp subsidiary also generated taxable income.</w:t>
      </w:r>
    </w:p>
    <w:p>
      <w:pPr>
        <w:spacing w:after="0" w:line="2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Company’s overall tax provision for the years ended December 31, 2023 and 2022 primarily related to its Austrian subsidiary and Security Corp subsidiary. For these years, the Company recorded no income tax benefits for the net operating losses incurred and research and development credits generated in its U.S. entity due to the uncertainty of realizing a benefit from those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the provision for income taxes for the years ended December 31, 2024, 2023 and 2022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(102,126)</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(94,742)</w:t>
            </w:r>
          </w:p>
        </w:tc>
        <w:tc>
          <w:tcPr>
            <w:tcW w:w="0" w:type="dxa"/>
            <w:vAlign w:val="bottom"/>
          </w:tcPr>
          <w:p>
            <w:pPr>
              <w:spacing w:after="0"/>
              <w:rPr>
                <w:sz w:val="1"/>
                <w:szCs w:val="1"/>
                <w:color w:val="auto"/>
              </w:rPr>
            </w:pPr>
          </w:p>
        </w:tc>
      </w:tr>
      <w:tr>
        <w:trPr>
          <w:trHeight w:val="225"/>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(Austria)</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(37,140)</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(101,089)</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income tax expense (benefit) at the U.S. federal statutory income tax rate to the actual income tax expense (benefit) at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income tax rate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1440" w:type="dxa"/>
            <w:vAlign w:val="bottom"/>
            <w:gridSpan w:val="2"/>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160" w:type="dxa"/>
            <w:vAlign w:val="bottom"/>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 expense (benefit) at U.S. federal statutory income tax rate</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4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Orphan drug credits</w:t>
            </w:r>
          </w:p>
        </w:tc>
        <w:tc>
          <w:tcPr>
            <w:tcW w:w="14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1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9"/>
                <w:szCs w:val="19"/>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5"/>
              </w:rPr>
              <w:t>— %</w:t>
            </w:r>
          </w:p>
        </w:tc>
        <w:tc>
          <w:tcPr>
            <w:tcW w:w="2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as of December 31, 2024 and 2023 consisted of the following:</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6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115,332</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122,942</w:t>
            </w:r>
          </w:p>
        </w:tc>
        <w:tc>
          <w:tcPr>
            <w:tcW w:w="0" w:type="dxa"/>
            <w:vAlign w:val="bottom"/>
          </w:tcPr>
          <w:p>
            <w:pPr>
              <w:spacing w:after="0"/>
              <w:rPr>
                <w:sz w:val="1"/>
                <w:szCs w:val="1"/>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8,416</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28,402</w:t>
            </w:r>
          </w:p>
        </w:tc>
        <w:tc>
          <w:tcPr>
            <w:tcW w:w="0" w:type="dxa"/>
            <w:vAlign w:val="bottom"/>
          </w:tcPr>
          <w:p>
            <w:pPr>
              <w:spacing w:after="0"/>
              <w:rPr>
                <w:sz w:val="1"/>
                <w:szCs w:val="1"/>
                <w:color w:val="auto"/>
              </w:rPr>
            </w:pPr>
          </w:p>
        </w:tc>
      </w:tr>
      <w:tr>
        <w:trPr>
          <w:trHeight w:val="225"/>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219"/>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185,686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165,131</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(184,908)</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(163,994)</w:t>
            </w:r>
          </w:p>
        </w:tc>
        <w:tc>
          <w:tcPr>
            <w:tcW w:w="0" w:type="dxa"/>
            <w:vAlign w:val="bottom"/>
          </w:tcPr>
          <w:p>
            <w:pPr>
              <w:spacing w:after="0"/>
              <w:rPr>
                <w:sz w:val="1"/>
                <w:szCs w:val="1"/>
                <w:color w:val="auto"/>
              </w:rPr>
            </w:pPr>
          </w:p>
        </w:tc>
      </w:tr>
      <w:tr>
        <w:trPr>
          <w:trHeight w:val="219"/>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19"/>
        </w:trPr>
        <w:tc>
          <w:tcPr>
            <w:tcW w:w="6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Pr>
          <w:p>
            <w:pPr>
              <w:spacing w:after="0"/>
              <w:rPr>
                <w:sz w:val="19"/>
                <w:szCs w:val="19"/>
                <w:color w:val="auto"/>
              </w:rPr>
            </w:pP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As of December 31, 2024, the Company had U.S. federal and state net operating loss carryforwards of $372.9 million and $374.2 million, respectively, which may be available to offset future taxable income and begin to expire in 2035 and 2034, respectively. The Company has federal net operating losses $324.9 million, which do not expire, and $48.0 million of federal net operating losses generated prior to 2018 that will expire at various dates through 2037. In addition, as of December 31, 2024, the Company had foreign net operating loss carryforward of $58.1 million, which do not expire but are generally limited in their usage to an annual deduction equal to 75% of taxable income. As of December 31, 2024, the Company also had U.S. federal and state research and development tax credit carryforwards of $7.1 million and $3.4 million, respectively, which may be available to offset future tax liabilities and each begin to expire in 2035 and 2030, respectively. Additionally, the Company has U.S. federal Orphan Drug credit carryforwards of $8.8 million which may be available to offset future tax liabilities which begin to expire in 2044.</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The Tax Cuts and Jobs Act (the “Act”) was enacted on December 22, 2017. Under the Act, research and experimental expenditures incurred for tax years beginning after December 31, 2021 must be capitalized and amortized ratably over five or fifteen years for tax purposes, depending on where the research activities are conducted. If the requirement to capitalize Section 174 expenditures is not modified, it may also impact our effective tax rate and our cash tax liability in future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uncertain tax position reserves recorded were $0.2 million for U.S. federal and state research and development tax credits.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reserve for uncertain tax positions for the three years ended December 31,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6"/>
                <w:szCs w:val="16"/>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9"/>
              </w:rPr>
              <w:t>Reserve for Uncertain</w:t>
            </w:r>
          </w:p>
        </w:tc>
        <w:tc>
          <w:tcPr>
            <w:tcW w:w="0" w:type="dxa"/>
            <w:vAlign w:val="bottom"/>
          </w:tcPr>
          <w:p>
            <w:pPr>
              <w:spacing w:after="0"/>
              <w:rPr>
                <w:sz w:val="1"/>
                <w:szCs w:val="1"/>
                <w:color w:val="auto"/>
              </w:rPr>
            </w:pPr>
          </w:p>
        </w:tc>
      </w:tr>
      <w:tr>
        <w:trPr>
          <w:trHeight w:val="211"/>
        </w:trPr>
        <w:tc>
          <w:tcPr>
            <w:tcW w:w="92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Tax Position</w:t>
            </w:r>
          </w:p>
        </w:tc>
        <w:tc>
          <w:tcPr>
            <w:tcW w:w="0" w:type="dxa"/>
            <w:vAlign w:val="bottom"/>
          </w:tcPr>
          <w:p>
            <w:pPr>
              <w:spacing w:after="0"/>
              <w:rPr>
                <w:sz w:val="1"/>
                <w:szCs w:val="1"/>
                <w:color w:val="auto"/>
              </w:rPr>
            </w:pPr>
          </w:p>
        </w:tc>
      </w:tr>
      <w:tr>
        <w:trPr>
          <w:trHeight w:val="22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Utilization of the Company’s U.S. net operating loss carryforwards and research and development tax credit carryforwards are subject to a substantial annual limitation under Section 382 of the Internal Revenue Code of 1986 due to ownership changes that have occurred previously and could be further limited as a result of ownership changes that could occur in the future. These ownership changes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conducted a 382 study to assess whether a change or changes of control, as defined by Section 382, have occurred since inception. The Company has determined that multiple changes of control have occurred with the latest in the ended 2022. Utilization of the Company’s U.S. net operating loss carryforwards generated prior to the last change of control are subject to an annual usage limitation. Net operating loss carryforwards generated after the Tax Cuts and Jobs Act of 2019 (“TCJA”) are also subject to an 80% annual usage limitation in addition to the section 382 limitation. During the year ended December 31, 2024, the Company generated ordinary taxable income and utilized all pre-TCJA 2019 net operating loss carryforwards and all available post-TCJA net operating loss carryforwards available subject to the section 382 limitation.</w:t>
      </w:r>
    </w:p>
    <w:p>
      <w:pPr>
        <w:spacing w:after="0" w:line="21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Each period, the Company evaluates the positive and negative evidence bearing upon its ability to realize its federal, state and foreign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its deferred tax assets. Accordingly, a full valuation allowance has been established against the deferred tax assets as of December 31, 2024, 2023 and 2022.</w:t>
      </w:r>
    </w:p>
    <w:p>
      <w:pPr>
        <w:spacing w:after="0" w:line="19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2024, 2023 and 2022 related primarily to the increases in net operating loss carryforwards and research and development tax credit carryforwards and were as follows:</w:t>
      </w: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beginning of year</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(133,112)</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(111,835)</w:t>
            </w:r>
          </w:p>
        </w:tc>
        <w:tc>
          <w:tcPr>
            <w:tcW w:w="0" w:type="dxa"/>
            <w:vAlign w:val="bottom"/>
          </w:tcPr>
          <w:p>
            <w:pPr>
              <w:spacing w:after="0"/>
              <w:rPr>
                <w:sz w:val="1"/>
                <w:szCs w:val="1"/>
                <w:color w:val="auto"/>
              </w:rPr>
            </w:pPr>
          </w:p>
        </w:tc>
      </w:tr>
      <w:tr>
        <w:trPr>
          <w:trHeight w:val="225"/>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year activity</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(30,882)</w:t>
            </w:r>
          </w:p>
        </w:tc>
        <w:tc>
          <w:tcPr>
            <w:tcW w:w="1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(21,277)</w:t>
            </w: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(184,908)</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(163,994)</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The Company’s U.S. federal and state income tax returns are generally subject to tax examinations for the tax years ended December 31, 2021 through December 31, 2023.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 The Company’s policy is to record interest and penalties related to income taxes as part of its income tax provision. No interest and penalties have been recorded as of December 31,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(93,867)</w:t>
            </w:r>
          </w:p>
        </w:tc>
        <w:tc>
          <w:tcPr>
            <w:tcW w:w="0" w:type="dxa"/>
            <w:vAlign w:val="bottom"/>
          </w:tcPr>
          <w:p>
            <w:pPr>
              <w:spacing w:after="0"/>
              <w:rPr>
                <w:sz w:val="1"/>
                <w:szCs w:val="1"/>
                <w:color w:val="auto"/>
              </w:rPr>
            </w:pPr>
          </w:p>
        </w:tc>
      </w:tr>
      <w:tr>
        <w:trPr>
          <w:trHeight w:val="238"/>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Deemed dividend as a result of Class B Warrant price reset</w:t>
            </w:r>
          </w:p>
        </w:tc>
        <w:tc>
          <w:tcPr>
            <w:tcW w:w="2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44"/>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201,062,211</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177,812,480</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63,525,845</w:t>
            </w: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Basic and diluted weighted average shares of common stock outstanding for the years ended December 31, 2024, 2023 and 2022 includes the weighted average effect of 32.4 million, 32.4 million and 24.2 million pre-funded warrants, for the purchase of shares of common stock, for which the remaining unfunded exercise price is less than or equal to $0.01 per share. During the years ended December 31, 2022, in accordance with the Class B Warrant agreement, the exercise price of each outstanding Class B Warrant was adjusted to the price of subsequent sales of common stock. Such adjustments are accounted for as a deemed dividend that adjusts net loss available to common shareholders for purposes of basic earnings per share. The deemed dividend was calculated using the Black-Scholes pricing model, taking into account historical volatility of the Company’s common stock and the estimated remaining life of the outstanding Class B Warrants.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Company’s potentially dilutive securities include outstanding stock options, unvested restricted stock units and warrants to purchase shares of common stock for the three years ended December 31, 2024. These potentially dilutive securities have been excluded from the computation of diluted net loss per share as the effect would be to reduce the net loss per share, and thus they are considered “anti-dilutive.” Therefore, the weighted average number of common shares outstanding used to calculate both basic and diluted net loss per share attributable to common stockholders is the same. The Company excluded the following potential shares of common stock from the computation of diluted net loss per share attributable to common stockholders for the periods indicated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11430</wp:posOffset>
            </wp:positionV>
            <wp:extent cx="2793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008495" cy="151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008495"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008495" cy="260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7008495" cy="260985"/>
                    </a:xfrm>
                    <a:prstGeom prst="rect">
                      <a:avLst/>
                    </a:prstGeom>
                    <a:noFill/>
                  </pic:spPr>
                </pic:pic>
              </a:graphicData>
            </a:graphic>
          </wp:anchor>
        </w:drawing>
      </w:r>
    </w:p>
    <w:p>
      <w:pPr>
        <w:spacing w:after="0" w:line="4" w:lineRule="exact"/>
        <w:rPr>
          <w:sz w:val="20"/>
          <w:szCs w:val="20"/>
          <w:color w:val="auto"/>
        </w:rPr>
      </w:pPr>
    </w:p>
    <w:p>
      <w:pPr>
        <w:ind w:left="180" w:hanging="158"/>
        <w:spacing w:after="0" w:line="230" w:lineRule="auto"/>
        <w:rPr>
          <w:sz w:val="20"/>
          <w:szCs w:val="20"/>
          <w:color w:val="auto"/>
        </w:rPr>
      </w:pPr>
      <w:r>
        <w:rPr>
          <w:rFonts w:ascii="Times New Roman" w:cs="Times New Roman" w:eastAsia="Times New Roman" w:hAnsi="Times New Roman"/>
          <w:sz w:val="18"/>
          <w:szCs w:val="18"/>
          <w:color w:val="auto"/>
        </w:rPr>
        <w:t>Warrants to purchase common stock (excluding prefunded warrants, which are included in basic shares outstanding)</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793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3"/>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11,843,496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6,008,541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2,021,480</w:t>
            </w:r>
          </w:p>
        </w:tc>
      </w:tr>
      <w:tr>
        <w:trPr>
          <w:trHeight w:val="231"/>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6,001,825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3,118,824</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1,680,563</w:t>
            </w:r>
          </w:p>
        </w:tc>
      </w:tr>
      <w:tr>
        <w:trPr>
          <w:trHeight w:val="410"/>
        </w:trPr>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76,378,805</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80,244,959</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87,720,773</w:t>
            </w:r>
          </w:p>
        </w:tc>
      </w:tr>
      <w:tr>
        <w:trPr>
          <w:trHeight w:val="218"/>
        </w:trPr>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94,224,126</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89,372,324</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91,422,816</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220"/>
            <w:col w:w="4600"/>
          </w:cols>
          <w:pgMar w:left="320" w:top="358" w:right="339" w:bottom="1440" w:gutter="0" w:footer="0" w:header="0"/>
          <w:type w:val="continuous"/>
        </w:sectPr>
      </w:pPr>
    </w:p>
    <w:p>
      <w:pPr>
        <w:spacing w:after="0" w:line="1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GAIN ON SALE OF NONFINANCIAL ASSETS</w:t>
      </w:r>
    </w:p>
    <w:p>
      <w:pPr>
        <w:spacing w:after="0" w:line="24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entered into contractual arrangement with a third party that transferred the rights to a Priority Review Voucher (“PRV”) awarded to the Company as a result of the FDA’s approval of XOLREMDI. The PRV was accounted for as an intangible asset with no accounting cost basis. The third party purchased the PRV for $105.0 million. There were no fees associated with the sale and the Company has no continuing obligations with respect to the PRV. The Company concluded that the third party is “non-customer” as the underlying PRV is not an output of the Company’s ordinary commercial activities. Accordingly, the Company accounted for this transaction under ASC Topic 610-20, </w:t>
      </w:r>
      <w:r>
        <w:rPr>
          <w:rFonts w:ascii="Times New Roman" w:cs="Times New Roman" w:eastAsia="Times New Roman" w:hAnsi="Times New Roman"/>
          <w:sz w:val="18"/>
          <w:szCs w:val="18"/>
          <w:i w:val="1"/>
          <w:iCs w:val="1"/>
          <w:color w:val="auto"/>
        </w:rPr>
        <w:t>Gains and Losses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Nonfinancial Assets </w:t>
      </w:r>
      <w:r>
        <w:rPr>
          <w:rFonts w:ascii="Times New Roman" w:cs="Times New Roman" w:eastAsia="Times New Roman" w:hAnsi="Times New Roman"/>
          <w:sz w:val="18"/>
          <w:szCs w:val="18"/>
          <w:color w:val="auto"/>
        </w:rPr>
        <w:t>(“ASC 610-20”). As a result of the transfer of control of the PRV to the third party, the Company derecognized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intangible asset and recorded a gain through “gain on sale of non-financial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a third party, who had previously acquired rights to certain intellectual</w:t>
      </w:r>
    </w:p>
    <w:p>
      <w:pPr>
        <w:spacing w:after="0" w:line="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property from the Company, terminated the arrangement and transferred these rights back to the Company. Also during the year ended December 31, 2022, the Company transferred these rights to another third party in return for $0.5 million. The Company has no continuing involvement in any ongoing research and development activities associated with the intellectual</w:t>
      </w:r>
    </w:p>
    <w:p>
      <w:pPr>
        <w:spacing w:after="0" w:line="2" w:lineRule="exact"/>
        <w:rPr>
          <w:sz w:val="20"/>
          <w:szCs w:val="20"/>
          <w:color w:val="auto"/>
        </w:rPr>
      </w:pPr>
    </w:p>
    <w:p>
      <w:pPr>
        <w:ind w:right="2320"/>
        <w:spacing w:after="0" w:line="260" w:lineRule="auto"/>
        <w:rPr>
          <w:sz w:val="20"/>
          <w:szCs w:val="20"/>
          <w:color w:val="auto"/>
        </w:rPr>
      </w:pPr>
      <w:r>
        <w:rPr>
          <w:rFonts w:ascii="Times New Roman" w:cs="Times New Roman" w:eastAsia="Times New Roman" w:hAnsi="Times New Roman"/>
          <w:sz w:val="17"/>
          <w:szCs w:val="17"/>
          <w:color w:val="auto"/>
        </w:rPr>
        <w:t>property. The Company concluded that these third parties are “non-customers” as the underlying intellectual property transferred to and from these third parties supports potential drug candidates that are not aligned with the Company’s strategic focus and, therefore, are not an output of the Company’s ordinary activities. Accordingly, the Company accounted for the sale</w:t>
      </w:r>
    </w:p>
    <w:p>
      <w:pPr>
        <w:spacing w:after="0" w:line="1"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of the intellectual property as the sale of a non-financial asset under ASC 610-20, and included the gain in “gain on sale of non-financial assets” for the year ended December 31, 2022.</w:t>
      </w:r>
    </w:p>
    <w:p>
      <w:pPr>
        <w:spacing w:after="0" w:line="2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1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has defined its Chief Operating Decision Maker (“CODM”) as its Chief Executive Officer. The CODM manages the Company’s operations as a single operating segment, which comprises its single reportable segment, for the purposes of assessing performance and making operating decisions. The Company’s focus is on the research, development and commercialization of novel therapeutics for the treatment of rare diseases. The Company’s research, development and commercialization efforts are primarily focused on its lead molecule, mavorixafor, which is being marketed in the U.S. under the trade name XOLREMDI, for use as an oral, once-daily therapy in patients 12 years of age and older with WHIM syndrome to increase the number of circulating mature neutrophils and lymphocytes. The Company derives its revenue from the sale of XOLREMDI. All revenue recognized for the year ended December 31, 2024 was derived from customers in the U.S.</w:t>
      </w:r>
    </w:p>
    <w:p>
      <w:pPr>
        <w:spacing w:after="0" w:line="187"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The CODM uses the Company’s consolidated net income (loss) to monitor actual results as compared to the budget in assessing segment performance and allocation of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profit for the segment is net income (loss) and consisted of the following for the years ended December 31, 2024, 2023 and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r>
      <w:tr>
        <w:trPr>
          <w:trHeight w:val="214"/>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67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Compensation expense, excluding stock-based compensation, SARs compensation expense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9"/>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severance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program expenses (X4P-001, mavorixafor)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30,041</w:t>
            </w:r>
          </w:p>
        </w:tc>
      </w:tr>
      <w:tr>
        <w:trPr>
          <w:trHeight w:val="22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non-financial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36,553</w:t>
            </w:r>
          </w:p>
        </w:tc>
      </w:tr>
      <w:tr>
        <w:trPr>
          <w:trHeight w:val="21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(measure of segment profit)</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(101,167)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(93,867)</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240" w:right="240" w:hanging="234"/>
        <w:spacing w:after="0" w:line="259" w:lineRule="auto"/>
        <w:tabs>
          <w:tab w:leader="none" w:pos="2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 cost of revenue, external departmental costs withing sales, general and administrative departments, certain unallocated external costs within research and development, stock-based compensation expense, SARs compensation expense, severance expense, other income (expense), and provision for income taxes.</w:t>
      </w:r>
    </w:p>
    <w:p>
      <w:pPr>
        <w:spacing w:after="0" w:line="59"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7"/>
          <w:szCs w:val="17"/>
          <w:color w:val="auto"/>
        </w:rPr>
        <w:t>The CODM only receives and reviews information regarding segment assets at the consolidated level. Certain other entity-wide disclosures are included elsewhere in these consolidated financials statements. As of December 31, 2024, the Company’s single operating segment had long-lived assets, including</w:t>
      </w:r>
    </w:p>
    <w:p>
      <w:pPr>
        <w:spacing w:after="0" w:line="221" w:lineRule="auto"/>
        <w:rPr>
          <w:sz w:val="20"/>
          <w:szCs w:val="20"/>
          <w:color w:val="auto"/>
        </w:rPr>
      </w:pPr>
      <w:r>
        <w:rPr>
          <w:rFonts w:ascii="Times New Roman" w:cs="Times New Roman" w:eastAsia="Times New Roman" w:hAnsi="Times New Roman"/>
          <w:sz w:val="17"/>
          <w:szCs w:val="17"/>
          <w:color w:val="auto"/>
        </w:rPr>
        <w:t>property and equipment and right-of-use assets, of $4.8 million</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of which $3.2 million and $1.7 million were located in the U.S. and Austria, respectively. As</w:t>
      </w:r>
    </w:p>
    <w:p>
      <w:pPr>
        <w:spacing w:after="0" w:line="1" w:lineRule="exact"/>
        <w:rPr>
          <w:sz w:val="20"/>
          <w:szCs w:val="20"/>
          <w:color w:val="auto"/>
        </w:rPr>
      </w:pPr>
    </w:p>
    <w:p>
      <w:pPr>
        <w:ind w:right="420"/>
        <w:spacing w:after="0" w:line="230" w:lineRule="auto"/>
        <w:rPr>
          <w:sz w:val="20"/>
          <w:szCs w:val="20"/>
          <w:color w:val="auto"/>
        </w:rPr>
      </w:pPr>
      <w:r>
        <w:rPr>
          <w:rFonts w:ascii="Times New Roman" w:cs="Times New Roman" w:eastAsia="Times New Roman" w:hAnsi="Times New Roman"/>
          <w:sz w:val="18"/>
          <w:szCs w:val="18"/>
          <w:color w:val="auto"/>
        </w:rPr>
        <w:t>of December 31, 2023, the operating segment’s long-lived assets were $6.4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of which $4.3 million and $2.1 million were located in the U.S. and Austria,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hanging="434"/>
        <w:spacing w:after="0"/>
        <w:tabs>
          <w:tab w:leader="none" w:pos="4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Norgine Agreement</w:t>
      </w:r>
    </w:p>
    <w:p>
      <w:pPr>
        <w:spacing w:after="0" w:line="2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On January 13, 2025, the Company entered into a License and Supply Agreement (the “Norgine Agreement”) with Norgine Pharma UK Limited (“Norgine”), pursuant to which Norgine is granted an exclusive license to (i) distribute, market and sell the Company’s product mavorixafor (marketed by the Company as XOLREMDI in the United States) for all indications in the European Economic Area, Switzerland, the United Kingdom, Australia and New Zealand (collectively, the “Territory”), following regulatory approval. Additionally, Norgine was granted a co-exclusive license to manufacture mavorixafor for the Territory within the Field (as defined in the Norgine Agreement). The Company retains all rights to mavorixafor outside the Territory and specific reserved rights within the Territory. Norgine may grant sublicenses to its affiliates and certain third parties subject to the terms of the Norgine Agreement, except that it may not sublicense the commercial rights granted under the Norgine Agreement for certain countries without X4’s explicit consent.</w:t>
      </w:r>
    </w:p>
    <w:p>
      <w:pPr>
        <w:spacing w:after="0" w:line="2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Pursuant to the terms of the Norgine Agreement, the Company shall receive the following payments from Norgine: (i) an upfront payment in the amount of €28.5 million (such payment was received in January 2025), (ii) up to approximately €226.0 million upon the achievement of certain regulatory, commercial and sales milestones, and (iii) escalating double-digit royalties of up to mid-twenties on any future net sales in the Territory. The tiered royalty payments are subject to royalty stacking, and to a material reduction on a country-by-country basis if a generic version of mavorixafor becomes available in the applicable country. X4 and Norgine will collaborate closely on regulatory filings, with X4 continuing to be responsible for the ongoing global, pivotal Phase 3 4WARD clinical trial evaluating mavorixafor in chronic neuropathy. Norgine will be responsible for all market access and commercialization activities and will eventually hold all marketing authorizations in the licensed territories. The Company will manufacture and supply mavorixafor to Norgine. Norgine shall be required to pay a supply price to the Company for the licensed product derived from the CMO costs plus a low double-teen digit of the CMO costs.</w:t>
      </w:r>
    </w:p>
    <w:p>
      <w:pPr>
        <w:spacing w:after="0" w:line="20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Subject to customary rights of each party to earlier terminate the Norgine Agreement, the term of the Norgine Agreement continues, on a country-by-country basis, until the later of: (i) the tenth (10th) anniversary of the first commercial sale of mavorixafor, (ii) expiration of regulatory market exclusivity of mavorixafor or (iii) expiration of the last-to-expire licensed patent in such country. The term of the Norgine Agreement shall be automatically renewed for additional three-year terms unless either party provides the other party written notice of its intent not to renew the Agreement at least one year prior to the applicable termination date of the Agreement. In the event of automatic renewal, the royalty payment rate drops to a single digit royalty.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Q1 2025 Restructuring</w:t>
      </w:r>
    </w:p>
    <w:p>
      <w:pPr>
        <w:spacing w:after="0" w:line="2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February 6, 2025, the Company announced a strategic restructuring of its workforce and capital spending to focus efforts on advancing mavorixafor to treat those with chronic neutropenia, while also optimizing its U.S. promotion of XOLREMDI. In connection with this shift in operational focus and strategic restructuring, the Company expects to implement a net reduction of its employee headcount by approximately 30% of the Company’s employees. The strategic restructuring activities include</w:t>
      </w:r>
    </w:p>
    <w:p>
      <w:pPr>
        <w:spacing w:after="0" w:line="3" w:lineRule="exact"/>
        <w:rPr>
          <w:sz w:val="20"/>
          <w:szCs w:val="20"/>
          <w:color w:val="auto"/>
        </w:rPr>
      </w:pPr>
    </w:p>
    <w:p>
      <w:pPr>
        <w:ind w:left="1020" w:hanging="378"/>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of research efforts,</w:t>
      </w:r>
    </w:p>
    <w:p>
      <w:pPr>
        <w:spacing w:after="0" w:line="5" w:lineRule="exact"/>
        <w:rPr>
          <w:rFonts w:ascii="Times New Roman" w:cs="Times New Roman" w:eastAsia="Times New Roman" w:hAnsi="Times New Roman"/>
          <w:sz w:val="18"/>
          <w:szCs w:val="18"/>
          <w:color w:val="auto"/>
        </w:rPr>
      </w:pPr>
    </w:p>
    <w:p>
      <w:pPr>
        <w:ind w:left="1080" w:hanging="438"/>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the Company’s facility in Vienna, Austria,</w:t>
      </w:r>
    </w:p>
    <w:p>
      <w:pPr>
        <w:spacing w:after="0" w:line="5" w:lineRule="exact"/>
        <w:rPr>
          <w:rFonts w:ascii="Times New Roman" w:cs="Times New Roman" w:eastAsia="Times New Roman" w:hAnsi="Times New Roman"/>
          <w:sz w:val="18"/>
          <w:szCs w:val="18"/>
          <w:color w:val="auto"/>
        </w:rPr>
      </w:pPr>
    </w:p>
    <w:p>
      <w:pPr>
        <w:ind w:left="1120" w:hanging="47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pausing pre-clinical drug candidate programs,</w:t>
      </w:r>
    </w:p>
    <w:p>
      <w:pPr>
        <w:spacing w:after="0" w:line="5" w:lineRule="exact"/>
        <w:rPr>
          <w:rFonts w:ascii="Times New Roman" w:cs="Times New Roman" w:eastAsia="Times New Roman" w:hAnsi="Times New Roman"/>
          <w:sz w:val="18"/>
          <w:szCs w:val="18"/>
          <w:color w:val="auto"/>
        </w:rPr>
      </w:pPr>
    </w:p>
    <w:p>
      <w:pPr>
        <w:ind w:left="1120" w:hanging="478"/>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the U.S. commercial field team and supporting roles across the Company and</w:t>
      </w:r>
    </w:p>
    <w:p>
      <w:pPr>
        <w:spacing w:after="0" w:line="5" w:lineRule="exact"/>
        <w:rPr>
          <w:rFonts w:ascii="Times New Roman" w:cs="Times New Roman" w:eastAsia="Times New Roman" w:hAnsi="Times New Roman"/>
          <w:sz w:val="18"/>
          <w:szCs w:val="18"/>
          <w:color w:val="auto"/>
        </w:rPr>
      </w:pPr>
    </w:p>
    <w:p>
      <w:pPr>
        <w:ind w:left="1280" w:right="580" w:hanging="638"/>
        <w:spacing w:after="0" w:line="251" w:lineRule="auto"/>
        <w:tabs>
          <w:tab w:leader="none" w:pos="107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other spending to support the ongoing clinical development of mavorixafor for the larger population of those with chronic neutropenia.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the workforce reduction will be substantially completed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80"/>
          </w:cols>
          <w:pgMar w:left="320" w:top="358" w:right="399" w:bottom="1440"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b w:val="1"/>
          <w:bCs w:val="1"/>
          <w:color w:val="auto"/>
        </w:rPr>
        <w:t>EXHIBIT 10.35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AMENDMENT NO. 3 TO MASTER SERVICES AGREEMENT</w:t>
      </w:r>
    </w:p>
    <w:p>
      <w:pPr>
        <w:spacing w:after="0" w:line="249"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color w:val="auto"/>
        </w:rPr>
        <w:t>This Amendment No. 3 (the “</w:t>
      </w:r>
      <w:r>
        <w:rPr>
          <w:rFonts w:ascii="Arial" w:cs="Arial" w:eastAsia="Arial" w:hAnsi="Arial"/>
          <w:sz w:val="21"/>
          <w:szCs w:val="21"/>
          <w:b w:val="1"/>
          <w:bCs w:val="1"/>
          <w:color w:val="auto"/>
        </w:rPr>
        <w:t>Amendment No. 3</w:t>
      </w:r>
      <w:r>
        <w:rPr>
          <w:rFonts w:ascii="Arial" w:cs="Arial" w:eastAsia="Arial" w:hAnsi="Arial"/>
          <w:sz w:val="21"/>
          <w:szCs w:val="21"/>
          <w:color w:val="auto"/>
        </w:rPr>
        <w:t>”) to the Master Services Agreement by and between X4 Pharmaceuticals, Inc., a Delaware corporation with a business address at 61 North Beacon Street, 4th Floor, Boston, Massachusetts 02134 USA (“</w:t>
      </w:r>
      <w:r>
        <w:rPr>
          <w:rFonts w:ascii="Arial" w:cs="Arial" w:eastAsia="Arial" w:hAnsi="Arial"/>
          <w:sz w:val="21"/>
          <w:szCs w:val="21"/>
          <w:b w:val="1"/>
          <w:bCs w:val="1"/>
          <w:color w:val="auto"/>
        </w:rPr>
        <w:t>X4</w:t>
      </w:r>
      <w:r>
        <w:rPr>
          <w:rFonts w:ascii="Arial" w:cs="Arial" w:eastAsia="Arial" w:hAnsi="Arial"/>
          <w:sz w:val="21"/>
          <w:szCs w:val="21"/>
          <w:color w:val="auto"/>
        </w:rPr>
        <w:t>”), and Aptuit (Oxford) Limited an Evotec company, incorporated in England and Wales, having an address at 111 Innovation Drive, Milton Park, Abingdon, Oxfordshire, OX14 4RZ, England (the “</w:t>
      </w:r>
      <w:r>
        <w:rPr>
          <w:rFonts w:ascii="Arial" w:cs="Arial" w:eastAsia="Arial" w:hAnsi="Arial"/>
          <w:sz w:val="21"/>
          <w:szCs w:val="21"/>
          <w:b w:val="1"/>
          <w:bCs w:val="1"/>
          <w:color w:val="auto"/>
        </w:rPr>
        <w:t>Company</w:t>
      </w:r>
      <w:r>
        <w:rPr>
          <w:rFonts w:ascii="Arial" w:cs="Arial" w:eastAsia="Arial" w:hAnsi="Arial"/>
          <w:sz w:val="21"/>
          <w:szCs w:val="21"/>
          <w:color w:val="auto"/>
        </w:rPr>
        <w:t>”), dated February 19, 2016 as amended by Amendment No. 1 entered into on 23rd November, 2016 and Amendment No. 2 entered into on 18th February, 2021 (collectively the “</w:t>
      </w:r>
      <w:r>
        <w:rPr>
          <w:rFonts w:ascii="Arial" w:cs="Arial" w:eastAsia="Arial" w:hAnsi="Arial"/>
          <w:sz w:val="21"/>
          <w:szCs w:val="21"/>
          <w:b w:val="1"/>
          <w:bCs w:val="1"/>
          <w:color w:val="auto"/>
        </w:rPr>
        <w:t>Agreement</w:t>
      </w:r>
      <w:r>
        <w:rPr>
          <w:rFonts w:ascii="Arial" w:cs="Arial" w:eastAsia="Arial" w:hAnsi="Arial"/>
          <w:sz w:val="21"/>
          <w:szCs w:val="21"/>
          <w:color w:val="auto"/>
        </w:rPr>
        <w:t>”), incorporated by reference herein, is effective on 5th January, 2024 (the “</w:t>
      </w:r>
      <w:r>
        <w:rPr>
          <w:rFonts w:ascii="Arial" w:cs="Arial" w:eastAsia="Arial" w:hAnsi="Arial"/>
          <w:sz w:val="21"/>
          <w:szCs w:val="21"/>
          <w:b w:val="1"/>
          <w:bCs w:val="1"/>
          <w:color w:val="auto"/>
        </w:rPr>
        <w:t>Amendment No. 3 Effective Date</w:t>
      </w:r>
      <w:r>
        <w:rPr>
          <w:rFonts w:ascii="Arial" w:cs="Arial" w:eastAsia="Arial" w:hAnsi="Arial"/>
          <w:sz w:val="21"/>
          <w:szCs w:val="21"/>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49" w:lineRule="exact"/>
        <w:rPr>
          <w:sz w:val="20"/>
          <w:szCs w:val="20"/>
          <w:color w:val="auto"/>
        </w:rPr>
      </w:pPr>
    </w:p>
    <w:p>
      <w:pPr>
        <w:ind w:right="40" w:firstLine="636"/>
        <w:spacing w:after="0" w:line="29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X4 and Company wish to amend the Agreement to renew the Term of the Agreement, which expires</w:t>
      </w:r>
      <w:r>
        <w:rPr>
          <w:rFonts w:ascii="Arial" w:cs="Arial" w:eastAsia="Arial" w:hAnsi="Arial"/>
          <w:sz w:val="21"/>
          <w:szCs w:val="21"/>
          <w:b w:val="1"/>
          <w:bCs w:val="1"/>
          <w:color w:val="auto"/>
        </w:rPr>
        <w:t xml:space="preserve"> </w:t>
      </w:r>
      <w:r>
        <w:rPr>
          <w:rFonts w:ascii="Arial" w:cs="Arial" w:eastAsia="Arial" w:hAnsi="Arial"/>
          <w:sz w:val="21"/>
          <w:szCs w:val="21"/>
          <w:color w:val="auto"/>
        </w:rPr>
        <w:t>on February 19, 2024 and update Annex A, listing Company’s Affiliates;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foregoing and the mutual covenants and promises contained in this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Amendment No. 3, the Parties hereto agree as follows:</w:t>
      </w:r>
    </w:p>
    <w:p>
      <w:pPr>
        <w:spacing w:after="0" w:line="242" w:lineRule="exact"/>
        <w:rPr>
          <w:sz w:val="20"/>
          <w:szCs w:val="20"/>
          <w:color w:val="auto"/>
        </w:rPr>
      </w:pPr>
    </w:p>
    <w:p>
      <w:pPr>
        <w:ind w:left="640" w:hanging="634"/>
        <w:spacing w:after="0"/>
        <w:tabs>
          <w:tab w:leader="none" w:pos="6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Defined terms in the Agreement shall have the same meaning in this Amendment.</w:t>
      </w:r>
    </w:p>
    <w:p>
      <w:pPr>
        <w:spacing w:after="0" w:line="248" w:lineRule="exact"/>
        <w:rPr>
          <w:rFonts w:ascii="Arial" w:cs="Arial" w:eastAsia="Arial" w:hAnsi="Arial"/>
          <w:sz w:val="21"/>
          <w:szCs w:val="21"/>
          <w:color w:val="auto"/>
        </w:rPr>
      </w:pPr>
    </w:p>
    <w:p>
      <w:pPr>
        <w:jc w:val="both"/>
        <w:ind w:left="640" w:right="280" w:hanging="634"/>
        <w:spacing w:after="0" w:line="269" w:lineRule="auto"/>
        <w:tabs>
          <w:tab w:leader="none" w:pos="631" w:val="left"/>
        </w:tabs>
        <w:numPr>
          <w:ilvl w:val="0"/>
          <w:numId w:val="59"/>
        </w:numPr>
        <w:rPr>
          <w:rFonts w:ascii="Arial" w:cs="Arial" w:eastAsia="Arial" w:hAnsi="Arial"/>
          <w:sz w:val="21"/>
          <w:szCs w:val="21"/>
          <w:color w:val="auto"/>
        </w:rPr>
      </w:pPr>
      <w:r>
        <w:rPr>
          <w:rFonts w:ascii="Arial" w:cs="Arial" w:eastAsia="Arial" w:hAnsi="Arial"/>
          <w:sz w:val="21"/>
          <w:szCs w:val="21"/>
          <w:color w:val="auto"/>
        </w:rPr>
        <w:t>In accordance with Section 7.4 of the Agreement, which requires that changes to the Agreement be in writing, the Term of the Agreement is renewed for an additional three (3) years, with a new expiration date of February 19, 2027.</w:t>
      </w:r>
    </w:p>
    <w:p>
      <w:pPr>
        <w:spacing w:after="0" w:line="181" w:lineRule="exact"/>
        <w:rPr>
          <w:rFonts w:ascii="Arial" w:cs="Arial" w:eastAsia="Arial" w:hAnsi="Arial"/>
          <w:sz w:val="21"/>
          <w:szCs w:val="21"/>
          <w:color w:val="auto"/>
        </w:rPr>
      </w:pPr>
    </w:p>
    <w:p>
      <w:pPr>
        <w:ind w:left="640" w:right="800" w:hanging="634"/>
        <w:spacing w:after="0" w:line="301" w:lineRule="auto"/>
        <w:tabs>
          <w:tab w:leader="none" w:pos="631" w:val="left"/>
        </w:tabs>
        <w:numPr>
          <w:ilvl w:val="0"/>
          <w:numId w:val="59"/>
        </w:numPr>
        <w:rPr>
          <w:rFonts w:ascii="Arial" w:cs="Arial" w:eastAsia="Arial" w:hAnsi="Arial"/>
          <w:sz w:val="21"/>
          <w:szCs w:val="21"/>
          <w:color w:val="auto"/>
        </w:rPr>
      </w:pPr>
      <w:r>
        <w:rPr>
          <w:rFonts w:ascii="Arial" w:cs="Arial" w:eastAsia="Arial" w:hAnsi="Arial"/>
          <w:sz w:val="21"/>
          <w:szCs w:val="21"/>
          <w:color w:val="auto"/>
        </w:rPr>
        <w:t>Annex A to the Agreement is hereby deleted in its entirety and replaced with Annex A attached hereto as Attachment 1.</w:t>
      </w:r>
    </w:p>
    <w:p>
      <w:pPr>
        <w:spacing w:after="0" w:line="149" w:lineRule="exact"/>
        <w:rPr>
          <w:rFonts w:ascii="Arial" w:cs="Arial" w:eastAsia="Arial" w:hAnsi="Arial"/>
          <w:sz w:val="21"/>
          <w:szCs w:val="21"/>
          <w:color w:val="auto"/>
        </w:rPr>
      </w:pPr>
    </w:p>
    <w:p>
      <w:pPr>
        <w:ind w:left="640" w:right="440" w:hanging="634"/>
        <w:spacing w:after="0" w:line="288" w:lineRule="auto"/>
        <w:tabs>
          <w:tab w:leader="none" w:pos="631" w:val="left"/>
        </w:tabs>
        <w:numPr>
          <w:ilvl w:val="0"/>
          <w:numId w:val="59"/>
        </w:numPr>
        <w:rPr>
          <w:rFonts w:ascii="Arial" w:cs="Arial" w:eastAsia="Arial" w:hAnsi="Arial"/>
          <w:sz w:val="21"/>
          <w:szCs w:val="21"/>
          <w:color w:val="auto"/>
        </w:rPr>
      </w:pPr>
      <w:r>
        <w:rPr>
          <w:rFonts w:ascii="Arial" w:cs="Arial" w:eastAsia="Arial" w:hAnsi="Arial"/>
          <w:sz w:val="21"/>
          <w:szCs w:val="21"/>
          <w:color w:val="auto"/>
        </w:rPr>
        <w:t>Save as otherwise expressly referred to in this Amendment No. 3 the terms and conditions of the Agreement shall apply in all other respects and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1"/>
          <w:szCs w:val="21"/>
          <w:color w:val="auto"/>
        </w:rPr>
        <w:t>Aptuit Agreement Reference: 00041340_to_00039364</w:t>
      </w:r>
    </w:p>
    <w:p>
      <w:pPr>
        <w:sectPr>
          <w:pgSz w:w="11900" w:h="16838" w:orient="portrait"/>
          <w:cols w:equalWidth="0" w:num="1">
            <w:col w:w="11240"/>
          </w:cols>
          <w:pgMar w:left="320" w:top="919" w:right="339" w:bottom="1440" w:gutter="0" w:footer="0" w:header="0"/>
        </w:sectPr>
      </w:pPr>
    </w:p>
    <w:bookmarkStart w:id="122" w:name="page123"/>
    <w:bookmarkEnd w:id="122"/>
    <w:p>
      <w:pPr>
        <w:spacing w:after="0" w:line="29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parties hereto have executed this</w:t>
      </w:r>
      <w:r>
        <w:rPr>
          <w:rFonts w:ascii="Arial" w:cs="Arial" w:eastAsia="Arial" w:hAnsi="Arial"/>
          <w:sz w:val="21"/>
          <w:szCs w:val="21"/>
          <w:b w:val="1"/>
          <w:bCs w:val="1"/>
          <w:color w:val="auto"/>
        </w:rPr>
        <w:t xml:space="preserve"> AMENDMENT NO. 3 </w:t>
      </w:r>
      <w:r>
        <w:rPr>
          <w:rFonts w:ascii="Arial" w:cs="Arial" w:eastAsia="Arial" w:hAnsi="Arial"/>
          <w:sz w:val="21"/>
          <w:szCs w:val="21"/>
          <w:color w:val="auto"/>
        </w:rPr>
        <w:t>on the Amendment No. 3</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92"/>
        </w:trPr>
        <w:tc>
          <w:tcPr>
            <w:tcW w:w="4500" w:type="dxa"/>
            <w:vAlign w:val="bottom"/>
            <w:gridSpan w:val="7"/>
          </w:tcPr>
          <w:p>
            <w:pPr>
              <w:spacing w:after="0"/>
              <w:rPr>
                <w:sz w:val="20"/>
                <w:szCs w:val="20"/>
                <w:color w:val="auto"/>
              </w:rPr>
            </w:pPr>
            <w:r>
              <w:rPr>
                <w:rFonts w:ascii="Arial" w:cs="Arial" w:eastAsia="Arial" w:hAnsi="Arial"/>
                <w:sz w:val="21"/>
                <w:szCs w:val="21"/>
                <w:b w:val="1"/>
                <w:bCs w:val="1"/>
                <w:color w:val="auto"/>
              </w:rPr>
              <w:t>X4 PHARMACEUTICALS, INC.</w:t>
            </w:r>
          </w:p>
        </w:tc>
        <w:tc>
          <w:tcPr>
            <w:tcW w:w="5060" w:type="dxa"/>
            <w:vAlign w:val="bottom"/>
            <w:gridSpan w:val="9"/>
          </w:tcPr>
          <w:p>
            <w:pPr>
              <w:ind w:left="1480"/>
              <w:spacing w:after="0"/>
              <w:rPr>
                <w:sz w:val="20"/>
                <w:szCs w:val="20"/>
                <w:color w:val="auto"/>
              </w:rPr>
            </w:pPr>
            <w:r>
              <w:rPr>
                <w:rFonts w:ascii="Arial" w:cs="Arial" w:eastAsia="Arial" w:hAnsi="Arial"/>
                <w:sz w:val="21"/>
                <w:szCs w:val="21"/>
                <w:b w:val="1"/>
                <w:bCs w:val="1"/>
                <w:color w:val="auto"/>
              </w:rPr>
              <w:t>APTUIT (OXFORD) LIMITED</w:t>
            </w:r>
          </w:p>
        </w:tc>
      </w:tr>
      <w:tr>
        <w:trPr>
          <w:trHeight w:val="465"/>
        </w:trPr>
        <w:tc>
          <w:tcPr>
            <w:tcW w:w="4500" w:type="dxa"/>
            <w:vAlign w:val="bottom"/>
            <w:gridSpan w:val="7"/>
          </w:tcPr>
          <w:p>
            <w:pPr>
              <w:spacing w:after="0"/>
              <w:rPr>
                <w:sz w:val="20"/>
                <w:szCs w:val="20"/>
                <w:color w:val="auto"/>
              </w:rPr>
            </w:pPr>
            <w:r>
              <w:rPr>
                <w:rFonts w:ascii="Arial" w:cs="Arial" w:eastAsia="Arial" w:hAnsi="Arial"/>
                <w:sz w:val="21"/>
                <w:szCs w:val="21"/>
                <w:color w:val="auto"/>
              </w:rPr>
              <w:t>By: /s/ Mary DiBiase</w:t>
            </w:r>
          </w:p>
        </w:tc>
        <w:tc>
          <w:tcPr>
            <w:tcW w:w="5060" w:type="dxa"/>
            <w:vAlign w:val="bottom"/>
            <w:gridSpan w:val="9"/>
          </w:tcPr>
          <w:p>
            <w:pPr>
              <w:ind w:left="1480"/>
              <w:spacing w:after="0"/>
              <w:rPr>
                <w:sz w:val="20"/>
                <w:szCs w:val="20"/>
                <w:color w:val="auto"/>
              </w:rPr>
            </w:pPr>
            <w:r>
              <w:rPr>
                <w:rFonts w:ascii="Arial" w:cs="Arial" w:eastAsia="Arial" w:hAnsi="Arial"/>
                <w:sz w:val="21"/>
                <w:szCs w:val="21"/>
                <w:color w:val="auto"/>
              </w:rPr>
              <w:t>By: /s/ Christian Dargel</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5"/>
        </w:trPr>
        <w:tc>
          <w:tcPr>
            <w:tcW w:w="4500" w:type="dxa"/>
            <w:vAlign w:val="bottom"/>
            <w:gridSpan w:val="7"/>
          </w:tcPr>
          <w:p>
            <w:pPr>
              <w:spacing w:after="0"/>
              <w:rPr>
                <w:sz w:val="20"/>
                <w:szCs w:val="20"/>
                <w:color w:val="auto"/>
              </w:rPr>
            </w:pPr>
            <w:r>
              <w:rPr>
                <w:rFonts w:ascii="Arial" w:cs="Arial" w:eastAsia="Arial" w:hAnsi="Arial"/>
                <w:sz w:val="21"/>
                <w:szCs w:val="21"/>
                <w:color w:val="auto"/>
              </w:rPr>
              <w:t>Print Name: Mary DiBiase</w:t>
            </w:r>
          </w:p>
        </w:tc>
        <w:tc>
          <w:tcPr>
            <w:tcW w:w="5060" w:type="dxa"/>
            <w:vAlign w:val="bottom"/>
            <w:gridSpan w:val="9"/>
          </w:tcPr>
          <w:p>
            <w:pPr>
              <w:ind w:left="1480"/>
              <w:spacing w:after="0"/>
              <w:rPr>
                <w:sz w:val="20"/>
                <w:szCs w:val="20"/>
                <w:color w:val="auto"/>
              </w:rPr>
            </w:pPr>
            <w:r>
              <w:rPr>
                <w:rFonts w:ascii="Arial" w:cs="Arial" w:eastAsia="Arial" w:hAnsi="Arial"/>
                <w:sz w:val="21"/>
                <w:szCs w:val="21"/>
                <w:color w:val="auto"/>
              </w:rPr>
              <w:t>Print Name: Christian Dargel</w:t>
            </w: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45"/>
        </w:trPr>
        <w:tc>
          <w:tcPr>
            <w:tcW w:w="1180" w:type="dxa"/>
            <w:vAlign w:val="bottom"/>
            <w:gridSpan w:val="4"/>
          </w:tcPr>
          <w:p>
            <w:pPr>
              <w:spacing w:after="0"/>
              <w:rPr>
                <w:sz w:val="20"/>
                <w:szCs w:val="20"/>
                <w:color w:val="auto"/>
              </w:rPr>
            </w:pPr>
            <w:r>
              <w:rPr>
                <w:rFonts w:ascii="Arial" w:cs="Arial" w:eastAsia="Arial" w:hAnsi="Arial"/>
                <w:sz w:val="21"/>
                <w:szCs w:val="21"/>
                <w:color w:val="auto"/>
              </w:rPr>
              <w:t>Title: COO</w:t>
            </w:r>
          </w:p>
        </w:tc>
        <w:tc>
          <w:tcPr>
            <w:tcW w:w="1260" w:type="dxa"/>
            <w:vAlign w:val="bottom"/>
            <w:gridSpan w:val="2"/>
          </w:tcPr>
          <w:p>
            <w:pPr>
              <w:spacing w:after="0"/>
              <w:rPr>
                <w:sz w:val="21"/>
                <w:szCs w:val="21"/>
                <w:color w:val="auto"/>
              </w:rPr>
            </w:pPr>
          </w:p>
        </w:tc>
        <w:tc>
          <w:tcPr>
            <w:tcW w:w="2060" w:type="dxa"/>
            <w:vAlign w:val="bottom"/>
          </w:tcPr>
          <w:p>
            <w:pPr>
              <w:spacing w:after="0"/>
              <w:rPr>
                <w:sz w:val="21"/>
                <w:szCs w:val="21"/>
                <w:color w:val="auto"/>
              </w:rPr>
            </w:pPr>
          </w:p>
        </w:tc>
        <w:tc>
          <w:tcPr>
            <w:tcW w:w="5060" w:type="dxa"/>
            <w:vAlign w:val="bottom"/>
            <w:gridSpan w:val="9"/>
          </w:tcPr>
          <w:p>
            <w:pPr>
              <w:ind w:left="1480"/>
              <w:spacing w:after="0"/>
              <w:rPr>
                <w:sz w:val="20"/>
                <w:szCs w:val="20"/>
                <w:color w:val="auto"/>
              </w:rPr>
            </w:pPr>
            <w:r>
              <w:rPr>
                <w:rFonts w:ascii="Arial" w:cs="Arial" w:eastAsia="Arial" w:hAnsi="Arial"/>
                <w:sz w:val="21"/>
                <w:szCs w:val="21"/>
                <w:color w:val="auto"/>
              </w:rPr>
              <w:t>Title: Authorized Signatory</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45"/>
        </w:trPr>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060" w:type="dxa"/>
            <w:vAlign w:val="bottom"/>
            <w:gridSpan w:val="9"/>
          </w:tcPr>
          <w:p>
            <w:pPr>
              <w:ind w:left="1480"/>
              <w:spacing w:after="0"/>
              <w:rPr>
                <w:sz w:val="20"/>
                <w:szCs w:val="20"/>
                <w:color w:val="auto"/>
              </w:rPr>
            </w:pPr>
            <w:r>
              <w:rPr>
                <w:rFonts w:ascii="Arial" w:cs="Arial" w:eastAsia="Arial" w:hAnsi="Arial"/>
                <w:sz w:val="21"/>
                <w:szCs w:val="21"/>
                <w:color w:val="auto"/>
              </w:rPr>
              <w:t>By: /s/ Mary Abdul</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45"/>
        </w:trPr>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060" w:type="dxa"/>
            <w:vAlign w:val="bottom"/>
            <w:gridSpan w:val="9"/>
          </w:tcPr>
          <w:p>
            <w:pPr>
              <w:ind w:left="1480"/>
              <w:spacing w:after="0"/>
              <w:rPr>
                <w:sz w:val="20"/>
                <w:szCs w:val="20"/>
                <w:color w:val="auto"/>
              </w:rPr>
            </w:pPr>
            <w:r>
              <w:rPr>
                <w:rFonts w:ascii="Arial" w:cs="Arial" w:eastAsia="Arial" w:hAnsi="Arial"/>
                <w:sz w:val="21"/>
                <w:szCs w:val="21"/>
                <w:color w:val="auto"/>
              </w:rPr>
              <w:t>Print Name: Mary Abdul</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245"/>
        </w:trPr>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060" w:type="dxa"/>
            <w:vAlign w:val="bottom"/>
            <w:gridSpan w:val="9"/>
          </w:tcPr>
          <w:p>
            <w:pPr>
              <w:ind w:left="1480"/>
              <w:spacing w:after="0"/>
              <w:rPr>
                <w:sz w:val="20"/>
                <w:szCs w:val="20"/>
                <w:color w:val="auto"/>
              </w:rPr>
            </w:pPr>
            <w:r>
              <w:rPr>
                <w:rFonts w:ascii="Arial" w:cs="Arial" w:eastAsia="Arial" w:hAnsi="Arial"/>
                <w:sz w:val="21"/>
                <w:szCs w:val="21"/>
                <w:color w:val="auto"/>
              </w:rPr>
              <w:t>Title: Authorized Signatory (Secretary)</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Attachment 1 – 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Aptuit Agreement Reference: 00041340_to_00039364</w:t>
      </w:r>
    </w:p>
    <w:p>
      <w:pPr>
        <w:sectPr>
          <w:pgSz w:w="11900" w:h="16838" w:orient="portrait"/>
          <w:cols w:equalWidth="0" w:num="1">
            <w:col w:w="10420"/>
          </w:cols>
          <w:pgMar w:left="320" w:top="1158" w:right="11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b w:val="1"/>
          <w:bCs w:val="1"/>
          <w:color w:val="auto"/>
        </w:rPr>
        <w:t>EXHIBIT 10.38</w:t>
      </w:r>
    </w:p>
    <w:p>
      <w:pPr>
        <w:spacing w:after="0" w:line="247" w:lineRule="exact"/>
        <w:rPr>
          <w:sz w:val="20"/>
          <w:szCs w:val="20"/>
          <w:color w:val="auto"/>
        </w:rPr>
      </w:pPr>
    </w:p>
    <w:p>
      <w:pPr>
        <w:ind w:left="760" w:right="1860" w:firstLine="208"/>
        <w:spacing w:after="0" w:line="273" w:lineRule="auto"/>
        <w:tabs>
          <w:tab w:leader="none" w:pos="1397"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CERTAIN CONFIDENTIAL INFORMATION CONTAINED IN THIS DOCUMENT, MARKED BY BRACKETS, HAS BEEN OMITTED BECAUSE THE INFORMATION (I) IS NOT</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MATERIAL AND (II) WOULD BE COMPETITIVELY HARMFUL IF PUBLICALLY DISCLOSED.</w:t>
      </w:r>
    </w:p>
    <w:p>
      <w:pPr>
        <w:spacing w:after="0" w:line="5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11 January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X4 PHARMACEUTICALS, INC.</w:t>
      </w:r>
    </w:p>
    <w:p>
      <w:pPr>
        <w:spacing w:after="0" w:line="21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1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NORGINE PHARMA UK LIMITED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LICENSE AND SUPPLY AGREEMENT</w:t>
      </w:r>
    </w:p>
    <w:p>
      <w:pPr>
        <w:sectPr>
          <w:pgSz w:w="11900" w:h="16838" w:orient="portrait"/>
          <w:cols w:equalWidth="0" w:num="1">
            <w:col w:w="10120"/>
          </w:cols>
          <w:pgMar w:left="1440" w:top="1393"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1">
                      <a:extLst>
                        <a:ext uri="{28A0092B-C50C-407E-A947-70E740481C1C}"/>
                      </a:extLst>
                    </a:blip>
                    <a:srcRect/>
                    <a:stretch>
                      <a:fillRect/>
                    </a:stretch>
                  </pic:blipFill>
                  <pic:spPr bwMode="auto">
                    <a:xfrm>
                      <a:off x="0" y="0"/>
                      <a:ext cx="7134860" cy="8255"/>
                    </a:xfrm>
                    <a:prstGeom prst="rect">
                      <a:avLst/>
                    </a:prstGeom>
                    <a:noFill/>
                  </pic:spPr>
                </pic:pic>
              </a:graphicData>
            </a:graphic>
          </wp:anchor>
        </w:drawing>
        <w:t>TABLE OF CONTENTS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w:t>
      </w:r>
    </w:p>
    <w:p>
      <w:pPr>
        <w:spacing w:after="0" w:line="217" w:lineRule="exact"/>
        <w:rPr>
          <w:sz w:val="20"/>
          <w:szCs w:val="20"/>
          <w:color w:val="auto"/>
        </w:rPr>
      </w:pPr>
    </w:p>
    <w:p>
      <w:pPr>
        <w:ind w:left="340" w:hanging="33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Definitions  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 w:type="dxa"/>
            <w:vAlign w:val="bottom"/>
          </w:tcPr>
          <w:p>
            <w:pPr>
              <w:jc w:val="right"/>
              <w:ind w:right="12"/>
              <w:spacing w:after="0"/>
              <w:rPr>
                <w:sz w:val="20"/>
                <w:szCs w:val="20"/>
                <w:color w:val="auto"/>
              </w:rPr>
            </w:pPr>
            <w:r>
              <w:rPr>
                <w:rFonts w:ascii="Arial" w:cs="Arial" w:eastAsia="Arial" w:hAnsi="Arial"/>
                <w:sz w:val="18"/>
                <w:szCs w:val="18"/>
                <w:color w:val="auto"/>
                <w:w w:val="92"/>
              </w:rPr>
              <w:t>2.</w:t>
            </w:r>
          </w:p>
        </w:tc>
        <w:tc>
          <w:tcPr>
            <w:tcW w:w="5920" w:type="dxa"/>
            <w:vAlign w:val="bottom"/>
          </w:tcPr>
          <w:p>
            <w:pPr>
              <w:ind w:left="80"/>
              <w:spacing w:after="0"/>
              <w:rPr>
                <w:sz w:val="20"/>
                <w:szCs w:val="20"/>
                <w:color w:val="auto"/>
              </w:rPr>
            </w:pPr>
            <w:r>
              <w:rPr>
                <w:rFonts w:ascii="Arial" w:cs="Arial" w:eastAsia="Arial" w:hAnsi="Arial"/>
                <w:sz w:val="18"/>
                <w:szCs w:val="18"/>
                <w:color w:val="auto"/>
              </w:rPr>
              <w:t>Grant Of License; Obligations  7</w:t>
            </w:r>
          </w:p>
        </w:tc>
      </w:tr>
      <w:tr>
        <w:trPr>
          <w:trHeight w:val="292"/>
        </w:trPr>
        <w:tc>
          <w:tcPr>
            <w:tcW w:w="260" w:type="dxa"/>
            <w:vAlign w:val="bottom"/>
          </w:tcPr>
          <w:p>
            <w:pPr>
              <w:jc w:val="right"/>
              <w:ind w:right="12"/>
              <w:spacing w:after="0"/>
              <w:rPr>
                <w:sz w:val="20"/>
                <w:szCs w:val="20"/>
                <w:color w:val="auto"/>
              </w:rPr>
            </w:pPr>
            <w:r>
              <w:rPr>
                <w:rFonts w:ascii="Arial" w:cs="Arial" w:eastAsia="Arial" w:hAnsi="Arial"/>
                <w:sz w:val="18"/>
                <w:szCs w:val="18"/>
                <w:color w:val="auto"/>
                <w:w w:val="92"/>
              </w:rPr>
              <w:t>3.</w:t>
            </w:r>
          </w:p>
        </w:tc>
        <w:tc>
          <w:tcPr>
            <w:tcW w:w="5920" w:type="dxa"/>
            <w:vAlign w:val="bottom"/>
          </w:tcPr>
          <w:p>
            <w:pPr>
              <w:ind w:left="80"/>
              <w:spacing w:after="0"/>
              <w:rPr>
                <w:sz w:val="20"/>
                <w:szCs w:val="20"/>
                <w:color w:val="auto"/>
              </w:rPr>
            </w:pPr>
            <w:r>
              <w:rPr>
                <w:rFonts w:ascii="Arial" w:cs="Arial" w:eastAsia="Arial" w:hAnsi="Arial"/>
                <w:sz w:val="18"/>
                <w:szCs w:val="18"/>
                <w:color w:val="auto"/>
              </w:rPr>
              <w:t>Representations and Warranties  9</w:t>
            </w:r>
          </w:p>
        </w:tc>
      </w:tr>
      <w:tr>
        <w:trPr>
          <w:trHeight w:val="305"/>
        </w:trPr>
        <w:tc>
          <w:tcPr>
            <w:tcW w:w="260" w:type="dxa"/>
            <w:vAlign w:val="bottom"/>
          </w:tcPr>
          <w:p>
            <w:pPr>
              <w:jc w:val="right"/>
              <w:ind w:right="12"/>
              <w:spacing w:after="0"/>
              <w:rPr>
                <w:sz w:val="20"/>
                <w:szCs w:val="20"/>
                <w:color w:val="auto"/>
              </w:rPr>
            </w:pPr>
            <w:r>
              <w:rPr>
                <w:rFonts w:ascii="Arial" w:cs="Arial" w:eastAsia="Arial" w:hAnsi="Arial"/>
                <w:sz w:val="18"/>
                <w:szCs w:val="18"/>
                <w:color w:val="auto"/>
                <w:w w:val="92"/>
              </w:rPr>
              <w:t>4.</w:t>
            </w:r>
          </w:p>
        </w:tc>
        <w:tc>
          <w:tcPr>
            <w:tcW w:w="5920" w:type="dxa"/>
            <w:vAlign w:val="bottom"/>
          </w:tcPr>
          <w:p>
            <w:pPr>
              <w:ind w:left="80"/>
              <w:spacing w:after="0"/>
              <w:rPr>
                <w:sz w:val="20"/>
                <w:szCs w:val="20"/>
                <w:color w:val="auto"/>
              </w:rPr>
            </w:pPr>
            <w:r>
              <w:rPr>
                <w:rFonts w:ascii="Arial" w:cs="Arial" w:eastAsia="Arial" w:hAnsi="Arial"/>
                <w:sz w:val="18"/>
                <w:szCs w:val="18"/>
                <w:color w:val="auto"/>
              </w:rPr>
              <w:t>Supply, Estimates, Orders &amp; Delivery  12</w:t>
            </w:r>
          </w:p>
        </w:tc>
      </w:tr>
      <w:tr>
        <w:trPr>
          <w:trHeight w:val="305"/>
        </w:trPr>
        <w:tc>
          <w:tcPr>
            <w:tcW w:w="260" w:type="dxa"/>
            <w:vAlign w:val="bottom"/>
          </w:tcPr>
          <w:p>
            <w:pPr>
              <w:jc w:val="right"/>
              <w:ind w:right="12"/>
              <w:spacing w:after="0"/>
              <w:rPr>
                <w:sz w:val="20"/>
                <w:szCs w:val="20"/>
                <w:color w:val="auto"/>
              </w:rPr>
            </w:pPr>
            <w:r>
              <w:rPr>
                <w:rFonts w:ascii="Arial" w:cs="Arial" w:eastAsia="Arial" w:hAnsi="Arial"/>
                <w:sz w:val="18"/>
                <w:szCs w:val="18"/>
                <w:color w:val="auto"/>
                <w:w w:val="92"/>
              </w:rPr>
              <w:t>5.</w:t>
            </w:r>
          </w:p>
        </w:tc>
        <w:tc>
          <w:tcPr>
            <w:tcW w:w="5920" w:type="dxa"/>
            <w:vAlign w:val="bottom"/>
          </w:tcPr>
          <w:p>
            <w:pPr>
              <w:ind w:left="80"/>
              <w:spacing w:after="0"/>
              <w:rPr>
                <w:sz w:val="20"/>
                <w:szCs w:val="20"/>
                <w:color w:val="auto"/>
              </w:rPr>
            </w:pPr>
            <w:r>
              <w:rPr>
                <w:rFonts w:ascii="Arial" w:cs="Arial" w:eastAsia="Arial" w:hAnsi="Arial"/>
                <w:sz w:val="18"/>
                <w:szCs w:val="18"/>
                <w:color w:val="auto"/>
                <w:w w:val="99"/>
              </w:rPr>
              <w:t>Clinical Studies, Governmental Approvals, Pharmacovigilance, Recall  15</w:t>
            </w:r>
          </w:p>
        </w:tc>
      </w:tr>
    </w:tbl>
    <w:p>
      <w:pPr>
        <w:spacing w:after="0" w:line="60" w:lineRule="exact"/>
        <w:rPr>
          <w:sz w:val="20"/>
          <w:szCs w:val="20"/>
          <w:color w:val="auto"/>
        </w:rPr>
      </w:pPr>
    </w:p>
    <w:p>
      <w:pPr>
        <w:ind w:left="340" w:hanging="33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Matters  17</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 w:type="dxa"/>
            <w:vAlign w:val="bottom"/>
          </w:tcPr>
          <w:p>
            <w:pPr>
              <w:jc w:val="right"/>
              <w:ind w:right="12"/>
              <w:spacing w:after="0"/>
              <w:rPr>
                <w:sz w:val="20"/>
                <w:szCs w:val="20"/>
                <w:color w:val="auto"/>
              </w:rPr>
            </w:pPr>
            <w:r>
              <w:rPr>
                <w:rFonts w:ascii="Arial" w:cs="Arial" w:eastAsia="Arial" w:hAnsi="Arial"/>
                <w:sz w:val="18"/>
                <w:szCs w:val="18"/>
                <w:color w:val="auto"/>
                <w:w w:val="92"/>
              </w:rPr>
              <w:t>7.</w:t>
            </w:r>
          </w:p>
        </w:tc>
        <w:tc>
          <w:tcPr>
            <w:tcW w:w="2480" w:type="dxa"/>
            <w:vAlign w:val="bottom"/>
          </w:tcPr>
          <w:p>
            <w:pPr>
              <w:ind w:left="80"/>
              <w:spacing w:after="0"/>
              <w:rPr>
                <w:sz w:val="20"/>
                <w:szCs w:val="20"/>
                <w:color w:val="auto"/>
              </w:rPr>
            </w:pPr>
            <w:r>
              <w:rPr>
                <w:rFonts w:ascii="Arial" w:cs="Arial" w:eastAsia="Arial" w:hAnsi="Arial"/>
                <w:sz w:val="18"/>
                <w:szCs w:val="18"/>
                <w:color w:val="auto"/>
              </w:rPr>
              <w:t>Performance by X4  20</w:t>
            </w:r>
          </w:p>
        </w:tc>
      </w:tr>
      <w:tr>
        <w:trPr>
          <w:trHeight w:val="305"/>
        </w:trPr>
        <w:tc>
          <w:tcPr>
            <w:tcW w:w="260" w:type="dxa"/>
            <w:vAlign w:val="bottom"/>
          </w:tcPr>
          <w:p>
            <w:pPr>
              <w:jc w:val="right"/>
              <w:ind w:right="12"/>
              <w:spacing w:after="0"/>
              <w:rPr>
                <w:sz w:val="20"/>
                <w:szCs w:val="20"/>
                <w:color w:val="auto"/>
              </w:rPr>
            </w:pPr>
            <w:r>
              <w:rPr>
                <w:rFonts w:ascii="Arial" w:cs="Arial" w:eastAsia="Arial" w:hAnsi="Arial"/>
                <w:sz w:val="18"/>
                <w:szCs w:val="18"/>
                <w:color w:val="auto"/>
                <w:w w:val="92"/>
              </w:rPr>
              <w:t>8.</w:t>
            </w:r>
          </w:p>
        </w:tc>
        <w:tc>
          <w:tcPr>
            <w:tcW w:w="2480" w:type="dxa"/>
            <w:vAlign w:val="bottom"/>
          </w:tcPr>
          <w:p>
            <w:pPr>
              <w:ind w:left="80"/>
              <w:spacing w:after="0"/>
              <w:rPr>
                <w:sz w:val="20"/>
                <w:szCs w:val="20"/>
                <w:color w:val="auto"/>
              </w:rPr>
            </w:pPr>
            <w:r>
              <w:rPr>
                <w:rFonts w:ascii="Arial" w:cs="Arial" w:eastAsia="Arial" w:hAnsi="Arial"/>
                <w:sz w:val="18"/>
                <w:szCs w:val="18"/>
                <w:color w:val="auto"/>
              </w:rPr>
              <w:t>Performance by Licensee  24</w:t>
            </w:r>
          </w:p>
        </w:tc>
      </w:tr>
    </w:tbl>
    <w:p>
      <w:pPr>
        <w:spacing w:after="0" w:line="60" w:lineRule="exact"/>
        <w:rPr>
          <w:sz w:val="20"/>
          <w:szCs w:val="20"/>
          <w:color w:val="auto"/>
        </w:rPr>
      </w:pPr>
    </w:p>
    <w:p>
      <w:pPr>
        <w:ind w:left="340" w:hanging="33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Confidential Information  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Use of Name &amp; Trademark; Intellectual Property  28</w:t>
            </w:r>
          </w:p>
        </w:tc>
      </w:tr>
      <w:tr>
        <w:trPr>
          <w:trHeight w:val="305"/>
        </w:trPr>
        <w:tc>
          <w:tcPr>
            <w:tcW w:w="340" w:type="dxa"/>
            <w:vAlign w:val="bottom"/>
          </w:tcPr>
          <w:p>
            <w:pPr>
              <w:spacing w:after="0"/>
              <w:rPr>
                <w:sz w:val="20"/>
                <w:szCs w:val="20"/>
                <w:color w:val="auto"/>
              </w:rPr>
            </w:pPr>
            <w:r>
              <w:rPr>
                <w:rFonts w:ascii="Arial" w:cs="Arial" w:eastAsia="Arial" w:hAnsi="Arial"/>
                <w:sz w:val="18"/>
                <w:szCs w:val="18"/>
                <w:color w:val="auto"/>
              </w:rPr>
              <w:t>11.</w:t>
            </w:r>
          </w:p>
        </w:tc>
        <w:tc>
          <w:tcPr>
            <w:tcW w:w="4260" w:type="dxa"/>
            <w:vAlign w:val="bottom"/>
            <w:gridSpan w:val="2"/>
          </w:tcPr>
          <w:p>
            <w:pPr>
              <w:ind w:left="100"/>
              <w:spacing w:after="0"/>
              <w:rPr>
                <w:sz w:val="20"/>
                <w:szCs w:val="20"/>
                <w:color w:val="auto"/>
              </w:rPr>
            </w:pPr>
            <w:r>
              <w:rPr>
                <w:rFonts w:ascii="Arial" w:cs="Arial" w:eastAsia="Arial" w:hAnsi="Arial"/>
                <w:sz w:val="18"/>
                <w:szCs w:val="18"/>
                <w:color w:val="auto"/>
              </w:rPr>
              <w:t>Joint Steering Committee  31</w:t>
            </w:r>
          </w:p>
        </w:tc>
      </w:tr>
      <w:tr>
        <w:trPr>
          <w:trHeight w:val="291"/>
        </w:trPr>
        <w:tc>
          <w:tcPr>
            <w:tcW w:w="340" w:type="dxa"/>
            <w:vAlign w:val="bottom"/>
          </w:tcPr>
          <w:p>
            <w:pPr>
              <w:spacing w:after="0"/>
              <w:rPr>
                <w:sz w:val="20"/>
                <w:szCs w:val="20"/>
                <w:color w:val="auto"/>
              </w:rPr>
            </w:pPr>
            <w:r>
              <w:rPr>
                <w:rFonts w:ascii="Arial" w:cs="Arial" w:eastAsia="Arial" w:hAnsi="Arial"/>
                <w:sz w:val="18"/>
                <w:szCs w:val="18"/>
                <w:color w:val="auto"/>
              </w:rPr>
              <w:t>12.</w:t>
            </w:r>
          </w:p>
        </w:tc>
        <w:tc>
          <w:tcPr>
            <w:tcW w:w="1860" w:type="dxa"/>
            <w:vAlign w:val="bottom"/>
          </w:tcPr>
          <w:p>
            <w:pPr>
              <w:ind w:left="100"/>
              <w:spacing w:after="0"/>
              <w:rPr>
                <w:sz w:val="20"/>
                <w:szCs w:val="20"/>
                <w:color w:val="auto"/>
              </w:rPr>
            </w:pPr>
            <w:r>
              <w:rPr>
                <w:rFonts w:ascii="Arial" w:cs="Arial" w:eastAsia="Arial" w:hAnsi="Arial"/>
                <w:sz w:val="18"/>
                <w:szCs w:val="18"/>
                <w:color w:val="auto"/>
                <w:w w:val="98"/>
              </w:rPr>
              <w:t>Term and Termination</w:t>
            </w:r>
          </w:p>
        </w:tc>
        <w:tc>
          <w:tcPr>
            <w:tcW w:w="2400" w:type="dxa"/>
            <w:vAlign w:val="bottom"/>
          </w:tcPr>
          <w:p>
            <w:pPr>
              <w:jc w:val="right"/>
              <w:ind w:right="1972"/>
              <w:spacing w:after="0"/>
              <w:rPr>
                <w:sz w:val="20"/>
                <w:szCs w:val="20"/>
                <w:color w:val="auto"/>
              </w:rPr>
            </w:pPr>
            <w:r>
              <w:rPr>
                <w:rFonts w:ascii="Arial" w:cs="Arial" w:eastAsia="Arial" w:hAnsi="Arial"/>
                <w:sz w:val="18"/>
                <w:szCs w:val="18"/>
                <w:color w:val="auto"/>
              </w:rPr>
              <w:t>32</w:t>
            </w:r>
          </w:p>
        </w:tc>
      </w:tr>
      <w:tr>
        <w:trPr>
          <w:trHeight w:val="305"/>
        </w:trPr>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860" w:type="dxa"/>
            <w:vAlign w:val="bottom"/>
          </w:tcPr>
          <w:p>
            <w:pPr>
              <w:ind w:left="100"/>
              <w:spacing w:after="0"/>
              <w:rPr>
                <w:sz w:val="20"/>
                <w:szCs w:val="20"/>
                <w:color w:val="auto"/>
              </w:rPr>
            </w:pPr>
            <w:r>
              <w:rPr>
                <w:rFonts w:ascii="Arial" w:cs="Arial" w:eastAsia="Arial" w:hAnsi="Arial"/>
                <w:sz w:val="18"/>
                <w:szCs w:val="18"/>
                <w:color w:val="auto"/>
              </w:rPr>
              <w:t>Effect of Termination</w:t>
            </w:r>
          </w:p>
        </w:tc>
        <w:tc>
          <w:tcPr>
            <w:tcW w:w="2400" w:type="dxa"/>
            <w:vAlign w:val="bottom"/>
          </w:tcPr>
          <w:p>
            <w:pPr>
              <w:jc w:val="right"/>
              <w:ind w:right="2072"/>
              <w:spacing w:after="0"/>
              <w:rPr>
                <w:sz w:val="20"/>
                <w:szCs w:val="20"/>
                <w:color w:val="auto"/>
              </w:rPr>
            </w:pPr>
            <w:r>
              <w:rPr>
                <w:rFonts w:ascii="Arial" w:cs="Arial" w:eastAsia="Arial" w:hAnsi="Arial"/>
                <w:sz w:val="18"/>
                <w:szCs w:val="18"/>
                <w:color w:val="auto"/>
              </w:rPr>
              <w:t>34</w:t>
            </w:r>
          </w:p>
        </w:tc>
      </w:tr>
    </w:tbl>
    <w:p>
      <w:pPr>
        <w:spacing w:after="0" w:line="73" w:lineRule="exact"/>
        <w:rPr>
          <w:sz w:val="20"/>
          <w:szCs w:val="20"/>
          <w:color w:val="auto"/>
        </w:rPr>
      </w:pPr>
    </w:p>
    <w:p>
      <w:pPr>
        <w:ind w:left="440" w:hanging="43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Governing Law  39</w:t>
      </w:r>
    </w:p>
    <w:p>
      <w:pPr>
        <w:spacing w:after="0" w:line="84" w:lineRule="exact"/>
        <w:rPr>
          <w:rFonts w:ascii="Arial" w:cs="Arial" w:eastAsia="Arial" w:hAnsi="Arial"/>
          <w:sz w:val="18"/>
          <w:szCs w:val="18"/>
          <w:color w:val="auto"/>
        </w:rPr>
      </w:pPr>
    </w:p>
    <w:p>
      <w:pPr>
        <w:ind w:left="440" w:hanging="43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Dispute Resolution  39</w:t>
      </w:r>
    </w:p>
    <w:p>
      <w:pPr>
        <w:spacing w:after="0" w:line="97" w:lineRule="exact"/>
        <w:rPr>
          <w:rFonts w:ascii="Arial" w:cs="Arial" w:eastAsia="Arial" w:hAnsi="Arial"/>
          <w:sz w:val="18"/>
          <w:szCs w:val="18"/>
          <w:color w:val="auto"/>
        </w:rPr>
      </w:pPr>
    </w:p>
    <w:p>
      <w:pPr>
        <w:ind w:left="440" w:hanging="43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Assignment  39</w:t>
      </w:r>
    </w:p>
    <w:p>
      <w:pPr>
        <w:spacing w:after="0" w:line="97" w:lineRule="exact"/>
        <w:rPr>
          <w:rFonts w:ascii="Arial" w:cs="Arial" w:eastAsia="Arial" w:hAnsi="Arial"/>
          <w:sz w:val="18"/>
          <w:szCs w:val="18"/>
          <w:color w:val="auto"/>
        </w:rPr>
      </w:pPr>
    </w:p>
    <w:p>
      <w:pPr>
        <w:ind w:left="440" w:hanging="43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Waiver  40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 w:type="dxa"/>
            <w:vAlign w:val="bottom"/>
          </w:tcPr>
          <w:p>
            <w:pPr>
              <w:jc w:val="right"/>
              <w:spacing w:after="0"/>
              <w:rPr>
                <w:sz w:val="20"/>
                <w:szCs w:val="20"/>
                <w:color w:val="auto"/>
              </w:rPr>
            </w:pPr>
            <w:r>
              <w:rPr>
                <w:rFonts w:ascii="Arial" w:cs="Arial" w:eastAsia="Arial" w:hAnsi="Arial"/>
                <w:sz w:val="18"/>
                <w:szCs w:val="18"/>
                <w:color w:val="auto"/>
                <w:w w:val="95"/>
              </w:rPr>
              <w:t>18.</w:t>
            </w:r>
          </w:p>
        </w:tc>
        <w:tc>
          <w:tcPr>
            <w:tcW w:w="3100" w:type="dxa"/>
            <w:vAlign w:val="bottom"/>
          </w:tcPr>
          <w:p>
            <w:pPr>
              <w:ind w:left="100"/>
              <w:spacing w:after="0"/>
              <w:rPr>
                <w:sz w:val="20"/>
                <w:szCs w:val="20"/>
                <w:color w:val="auto"/>
              </w:rPr>
            </w:pPr>
            <w:r>
              <w:rPr>
                <w:rFonts w:ascii="Arial" w:cs="Arial" w:eastAsia="Arial" w:hAnsi="Arial"/>
                <w:sz w:val="18"/>
                <w:szCs w:val="18"/>
                <w:color w:val="auto"/>
              </w:rPr>
              <w:t>Liability, Indemnity and Insurance  40</w:t>
            </w:r>
          </w:p>
        </w:tc>
      </w:tr>
      <w:tr>
        <w:trPr>
          <w:trHeight w:val="305"/>
        </w:trPr>
        <w:tc>
          <w:tcPr>
            <w:tcW w:w="340" w:type="dxa"/>
            <w:vAlign w:val="bottom"/>
          </w:tcPr>
          <w:p>
            <w:pPr>
              <w:jc w:val="right"/>
              <w:spacing w:after="0"/>
              <w:rPr>
                <w:sz w:val="20"/>
                <w:szCs w:val="20"/>
                <w:color w:val="auto"/>
              </w:rPr>
            </w:pPr>
            <w:r>
              <w:rPr>
                <w:rFonts w:ascii="Arial" w:cs="Arial" w:eastAsia="Arial" w:hAnsi="Arial"/>
                <w:sz w:val="18"/>
                <w:szCs w:val="18"/>
                <w:color w:val="auto"/>
                <w:w w:val="95"/>
              </w:rPr>
              <w:t>19.</w:t>
            </w:r>
          </w:p>
        </w:tc>
        <w:tc>
          <w:tcPr>
            <w:tcW w:w="3100" w:type="dxa"/>
            <w:vAlign w:val="bottom"/>
          </w:tcPr>
          <w:p>
            <w:pPr>
              <w:ind w:left="100"/>
              <w:spacing w:after="0"/>
              <w:rPr>
                <w:sz w:val="20"/>
                <w:szCs w:val="20"/>
                <w:color w:val="auto"/>
              </w:rPr>
            </w:pPr>
            <w:r>
              <w:rPr>
                <w:rFonts w:ascii="Arial" w:cs="Arial" w:eastAsia="Arial" w:hAnsi="Arial"/>
                <w:sz w:val="18"/>
                <w:szCs w:val="18"/>
                <w:color w:val="auto"/>
              </w:rPr>
              <w:t>Miscellaneous  42</w:t>
            </w:r>
          </w:p>
        </w:tc>
      </w:tr>
    </w:tbl>
    <w:p>
      <w:pPr>
        <w:sectPr>
          <w:pgSz w:w="11900" w:h="16838" w:orient="portrait"/>
          <w:cols w:equalWidth="0" w:num="1">
            <w:col w:w="11240"/>
          </w:cols>
          <w:pgMar w:left="320" w:top="1393"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391795</wp:posOffset>
            </wp:positionV>
            <wp:extent cx="713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2">
                      <a:extLst>
                        <a:ext uri="{28A0092B-C50C-407E-A947-70E740481C1C}"/>
                      </a:extLst>
                    </a:blip>
                    <a:srcRect/>
                    <a:stretch>
                      <a:fillRect/>
                    </a:stretch>
                  </pic:blipFill>
                  <pic:spPr bwMode="auto">
                    <a:xfrm>
                      <a:off x="0" y="0"/>
                      <a:ext cx="7134860" cy="8255"/>
                    </a:xfrm>
                    <a:prstGeom prst="rect">
                      <a:avLst/>
                    </a:prstGeom>
                    <a:noFill/>
                  </pic:spPr>
                </pic:pic>
              </a:graphicData>
            </a:graphic>
          </wp:anchor>
        </w:drawing>
        <w:t>LICENSE AND SUPPLY AGREEMENT</w:t>
      </w:r>
    </w:p>
    <w:p>
      <w:pPr>
        <w:spacing w:after="0" w:line="217"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18"/>
          <w:szCs w:val="18"/>
          <w:b w:val="1"/>
          <w:bCs w:val="1"/>
          <w:color w:val="auto"/>
        </w:rPr>
        <w:t xml:space="preserve">THIS LICENSE AND SUPPLY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11 January 2025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X4 PHARMACEUTICALS, INC.,</w:t>
      </w:r>
      <w:r>
        <w:rPr>
          <w:rFonts w:ascii="Arial" w:cs="Arial" w:eastAsia="Arial" w:hAnsi="Arial"/>
          <w:sz w:val="18"/>
          <w:szCs w:val="18"/>
          <w:color w:val="auto"/>
        </w:rPr>
        <w:t xml:space="preserve"> a company incorporated under the laws of Delaware with corporate headquarters at 61 N Beacon Street, 4th Floor, Boston, MA 02134, USA ("</w:t>
      </w:r>
      <w:r>
        <w:rPr>
          <w:rFonts w:ascii="Arial" w:cs="Arial" w:eastAsia="Arial" w:hAnsi="Arial"/>
          <w:sz w:val="18"/>
          <w:szCs w:val="18"/>
          <w:b w:val="1"/>
          <w:bCs w:val="1"/>
          <w:color w:val="auto"/>
        </w:rPr>
        <w:t>X4</w:t>
      </w:r>
      <w:r>
        <w:rPr>
          <w:rFonts w:ascii="Arial" w:cs="Arial" w:eastAsia="Arial" w:hAnsi="Arial"/>
          <w:sz w:val="18"/>
          <w:szCs w:val="18"/>
          <w:color w:val="auto"/>
        </w:rPr>
        <w:t xml:space="preserve">") and </w:t>
      </w:r>
      <w:r>
        <w:rPr>
          <w:rFonts w:ascii="Arial" w:cs="Arial" w:eastAsia="Arial" w:hAnsi="Arial"/>
          <w:sz w:val="18"/>
          <w:szCs w:val="18"/>
          <w:b w:val="1"/>
          <w:bCs w:val="1"/>
          <w:color w:val="auto"/>
        </w:rPr>
        <w:t>NORGINE PHARMA UK LIMITED,</w:t>
      </w:r>
      <w:r>
        <w:rPr>
          <w:rFonts w:ascii="Arial" w:cs="Arial" w:eastAsia="Arial" w:hAnsi="Arial"/>
          <w:sz w:val="18"/>
          <w:szCs w:val="18"/>
          <w:color w:val="auto"/>
        </w:rPr>
        <w:t xml:space="preserve"> a company incorporated under the laws of England and Wales with a place of business at ARC Uxbridge, Sanderson Road, Building 1, Uxbridge, UB8 1DH, United Kingdom ("</w:t>
      </w:r>
      <w:r>
        <w:rPr>
          <w:rFonts w:ascii="Arial" w:cs="Arial" w:eastAsia="Arial" w:hAnsi="Arial"/>
          <w:sz w:val="18"/>
          <w:szCs w:val="18"/>
          <w:b w:val="1"/>
          <w:bCs w:val="1"/>
          <w:color w:val="auto"/>
        </w:rPr>
        <w:t>Licensee</w:t>
      </w:r>
      <w:r>
        <w:rPr>
          <w:rFonts w:ascii="Arial" w:cs="Arial" w:eastAsia="Arial" w:hAnsi="Arial"/>
          <w:sz w:val="18"/>
          <w:szCs w:val="18"/>
          <w:color w:val="auto"/>
        </w:rPr>
        <w:t>"). X4 and Licensee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jointly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9"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18"/>
          <w:szCs w:val="18"/>
          <w:color w:val="auto"/>
        </w:rPr>
        <w:t>WHEREAS X4 Controls certain intellectual property rights relating to the Licensed Compound and Licensed Product as a result of, and subject to, a license received from Genzyme Corp. (“</w:t>
      </w:r>
      <w:r>
        <w:rPr>
          <w:rFonts w:ascii="Arial" w:cs="Arial" w:eastAsia="Arial" w:hAnsi="Arial"/>
          <w:sz w:val="18"/>
          <w:szCs w:val="18"/>
          <w:b w:val="1"/>
          <w:bCs w:val="1"/>
          <w:color w:val="auto"/>
        </w:rPr>
        <w:t>Genzyme</w:t>
      </w:r>
      <w:r>
        <w:rPr>
          <w:rFonts w:ascii="Arial" w:cs="Arial" w:eastAsia="Arial" w:hAnsi="Arial"/>
          <w:sz w:val="18"/>
          <w:szCs w:val="18"/>
          <w:color w:val="auto"/>
        </w:rPr>
        <w:t>”) pursuant to a License Agreement between X4 and Genzyme dated July 10</w:t>
      </w:r>
      <w:r>
        <w:rPr>
          <w:rFonts w:ascii="Arial" w:cs="Arial" w:eastAsia="Arial" w:hAnsi="Arial"/>
          <w:sz w:val="22"/>
          <w:szCs w:val="22"/>
          <w:color w:val="auto"/>
          <w:vertAlign w:val="superscript"/>
        </w:rPr>
        <w:t>th</w:t>
      </w:r>
      <w:r>
        <w:rPr>
          <w:rFonts w:ascii="Arial" w:cs="Arial" w:eastAsia="Arial" w:hAnsi="Arial"/>
          <w:sz w:val="18"/>
          <w:szCs w:val="18"/>
          <w:color w:val="auto"/>
        </w:rPr>
        <w:t>, 2014, as amended on October 23</w:t>
      </w:r>
      <w:r>
        <w:rPr>
          <w:rFonts w:ascii="Arial" w:cs="Arial" w:eastAsia="Arial" w:hAnsi="Arial"/>
          <w:sz w:val="22"/>
          <w:szCs w:val="22"/>
          <w:color w:val="auto"/>
          <w:vertAlign w:val="superscript"/>
        </w:rPr>
        <w:t>rd</w:t>
      </w:r>
      <w:r>
        <w:rPr>
          <w:rFonts w:ascii="Arial" w:cs="Arial" w:eastAsia="Arial" w:hAnsi="Arial"/>
          <w:sz w:val="18"/>
          <w:szCs w:val="18"/>
          <w:color w:val="auto"/>
        </w:rPr>
        <w:t>, 2014 and June 11</w:t>
      </w:r>
      <w:r>
        <w:rPr>
          <w:rFonts w:ascii="Arial" w:cs="Arial" w:eastAsia="Arial" w:hAnsi="Arial"/>
          <w:sz w:val="22"/>
          <w:szCs w:val="22"/>
          <w:color w:val="auto"/>
          <w:vertAlign w:val="superscript"/>
        </w:rPr>
        <w:t>th</w:t>
      </w:r>
      <w:r>
        <w:rPr>
          <w:rFonts w:ascii="Arial" w:cs="Arial" w:eastAsia="Arial" w:hAnsi="Arial"/>
          <w:sz w:val="18"/>
          <w:szCs w:val="18"/>
          <w:color w:val="auto"/>
        </w:rPr>
        <w:t>, 2021 (the “</w:t>
      </w:r>
      <w:r>
        <w:rPr>
          <w:rFonts w:ascii="Arial" w:cs="Arial" w:eastAsia="Arial" w:hAnsi="Arial"/>
          <w:sz w:val="18"/>
          <w:szCs w:val="18"/>
          <w:b w:val="1"/>
          <w:bCs w:val="1"/>
          <w:color w:val="auto"/>
        </w:rPr>
        <w:t>Head License</w:t>
      </w:r>
      <w:r>
        <w:rPr>
          <w:rFonts w:ascii="Arial" w:cs="Arial" w:eastAsia="Arial" w:hAnsi="Arial"/>
          <w:sz w:val="18"/>
          <w:szCs w:val="18"/>
          <w:color w:val="auto"/>
        </w:rPr>
        <w:t>”); and</w:t>
      </w:r>
    </w:p>
    <w:p>
      <w:pPr>
        <w:spacing w:after="0" w:line="98"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WHEREAS Licensee desires to distribute, market and sell the Licensed Product in the Territory and X4 is prepared to grant to Licensee certain exclusive license rights in accordance with all the terms and conditions hereof.</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in consideration of the foregoing premises and of the mutual covenants of the Parties, it is hereby agreed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9" w:lineRule="exact"/>
        <w:rPr>
          <w:sz w:val="20"/>
          <w:szCs w:val="20"/>
          <w:color w:val="auto"/>
        </w:rPr>
      </w:pPr>
    </w:p>
    <w:p>
      <w:pPr>
        <w:ind w:left="340" w:hanging="334"/>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In this Agreement, including all appendices hereto:</w:t>
      </w:r>
    </w:p>
    <w:p>
      <w:pPr>
        <w:spacing w:after="0" w:line="215" w:lineRule="exact"/>
        <w:rPr>
          <w:sz w:val="20"/>
          <w:szCs w:val="20"/>
          <w:color w:val="auto"/>
        </w:rPr>
      </w:pPr>
    </w:p>
    <w:p>
      <w:pPr>
        <w:ind w:left="460" w:hanging="635"/>
        <w:spacing w:after="0" w:line="276" w:lineRule="auto"/>
        <w:tabs>
          <w:tab w:leader="none" w:pos="44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b w:val="1"/>
          <w:bCs w:val="1"/>
          <w:color w:val="auto"/>
        </w:rPr>
        <w:t>Adverse Risk</w:t>
      </w:r>
      <w:r>
        <w:rPr>
          <w:rFonts w:ascii="Arial" w:cs="Arial" w:eastAsia="Arial" w:hAnsi="Arial"/>
          <w:sz w:val="18"/>
          <w:szCs w:val="18"/>
          <w:color w:val="auto"/>
        </w:rPr>
        <w:t>" means any risk of a material adverse effect on the development, manufacture or commercialization of Licensed Products or the procurement or maintenance of Marketing Authorizations.</w:t>
      </w:r>
    </w:p>
    <w:p>
      <w:pPr>
        <w:spacing w:after="0" w:line="16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w:t>
      </w:r>
    </w:p>
    <w:p>
      <w:pPr>
        <w:spacing w:after="0" w:line="219" w:lineRule="exact"/>
        <w:rPr>
          <w:sz w:val="20"/>
          <w:szCs w:val="20"/>
          <w:color w:val="auto"/>
        </w:rPr>
      </w:pPr>
    </w:p>
    <w:p>
      <w:pPr>
        <w:ind w:left="1280" w:hanging="638"/>
        <w:spacing w:after="0" w:line="264" w:lineRule="auto"/>
        <w:tabs>
          <w:tab w:leader="none" w:pos="10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respect of X4 or any person other than Licensee, any company which controls, is controlled by, or is under common control with, X4 or such person. A company shall be regarded as in control of another company for the purposes of this Agreement if it owns or directly or indirectly controls more than fifty percent (50%) of the voting share capital of the other company or, in the absence of the ownership of more than fifty percent (50%) of the voting share capital of the company, if it controls the composition of its board of directors or similar governance body under the applicable corporate law. A company shall be regarded as being under common control with X4 or such other person for the purposes of this Agreement if the same person (or persons) owns or directly or indirectly controls (including through one or more intervening persons, companies or trusts) more than fifty percent (50%) of the voting share capital of both the first company and the other company or, in the absence of the ownership of more than fifty percent (50%) of the voting share capital of the companies, if the same person (or persons) controls (including through one or more intervening persons, companies or trusts) the composition of the board of directors or similar governance body under the applicable corporate law of both the first company and the other company; and</w:t>
      </w:r>
    </w:p>
    <w:p>
      <w:pPr>
        <w:spacing w:after="0" w:line="178" w:lineRule="exact"/>
        <w:rPr>
          <w:rFonts w:ascii="Arial" w:cs="Arial" w:eastAsia="Arial" w:hAnsi="Arial"/>
          <w:sz w:val="17"/>
          <w:szCs w:val="17"/>
          <w:color w:val="auto"/>
        </w:rPr>
      </w:pPr>
    </w:p>
    <w:p>
      <w:pPr>
        <w:ind w:left="1040" w:hanging="398"/>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respect of Licensee, a Norgine Group Company.</w:t>
      </w:r>
    </w:p>
    <w:p>
      <w:pPr>
        <w:spacing w:after="0" w:line="215" w:lineRule="exact"/>
        <w:rPr>
          <w:sz w:val="20"/>
          <w:szCs w:val="20"/>
          <w:color w:val="auto"/>
        </w:rPr>
      </w:pPr>
    </w:p>
    <w:p>
      <w:pPr>
        <w:ind w:left="520" w:hanging="635"/>
        <w:spacing w:after="0" w:line="276" w:lineRule="auto"/>
        <w:tabs>
          <w:tab w:leader="none" w:pos="50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b w:val="1"/>
          <w:bCs w:val="1"/>
          <w:color w:val="auto"/>
        </w:rPr>
        <w:t>Allo-HSCT Treatment</w:t>
      </w:r>
      <w:r>
        <w:rPr>
          <w:rFonts w:ascii="Arial" w:cs="Arial" w:eastAsia="Arial" w:hAnsi="Arial"/>
          <w:sz w:val="18"/>
          <w:szCs w:val="18"/>
          <w:color w:val="auto"/>
        </w:rPr>
        <w:t>” means allogeneic hematopoietic stem cell transplantation (i.e. where the donor is a different person than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231140</wp:posOffset>
            </wp:positionV>
            <wp:extent cx="713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93" w:right="339" w:bottom="1440" w:gutter="0" w:footer="0" w:header="0"/>
        </w:sectPr>
      </w:pPr>
    </w:p>
    <w:bookmarkStart w:id="126" w:name="page127"/>
    <w:bookmarkEnd w:id="126"/>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4">
                      <a:extLst>
                        <a:ext uri="{28A0092B-C50C-407E-A947-70E740481C1C}"/>
                      </a:extLst>
                    </a:blip>
                    <a:srcRect/>
                    <a:stretch>
                      <a:fillRect/>
                    </a:stretch>
                  </pic:blipFill>
                  <pic:spPr bwMode="auto">
                    <a:xfrm>
                      <a:off x="0" y="0"/>
                      <a:ext cx="7134860" cy="8255"/>
                    </a:xfrm>
                    <a:prstGeom prst="rect">
                      <a:avLst/>
                    </a:prstGeom>
                    <a:noFill/>
                  </pic:spPr>
                </pic:pic>
              </a:graphicData>
            </a:graphic>
          </wp:anchor>
        </w:drawing>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Alternative Trademarks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Annual Net Sales</w:t>
      </w:r>
      <w:r>
        <w:rPr>
          <w:rFonts w:ascii="Arial" w:cs="Arial" w:eastAsia="Arial" w:hAnsi="Arial"/>
          <w:sz w:val="17"/>
          <w:szCs w:val="17"/>
          <w:color w:val="auto"/>
        </w:rPr>
        <w:t>” means Net Sales of all Licensed Products in the Territory in a particular calendar year.</w:t>
      </w:r>
    </w:p>
    <w:p>
      <w:pPr>
        <w:spacing w:after="0" w:line="217" w:lineRule="exact"/>
        <w:rPr>
          <w:sz w:val="20"/>
          <w:szCs w:val="20"/>
          <w:color w:val="auto"/>
        </w:rPr>
      </w:pPr>
    </w:p>
    <w:p>
      <w:pPr>
        <w:jc w:val="both"/>
        <w:ind w:left="520" w:hanging="635"/>
        <w:spacing w:after="0" w:line="256" w:lineRule="auto"/>
        <w:tabs>
          <w:tab w:leader="none" w:pos="500" w:val="left"/>
        </w:tabs>
        <w:rPr>
          <w:sz w:val="20"/>
          <w:szCs w:val="20"/>
          <w:color w:val="auto"/>
        </w:rPr>
      </w:pPr>
      <w:r>
        <w:rPr>
          <w:rFonts w:ascii="Arial" w:cs="Arial" w:eastAsia="Arial" w:hAnsi="Arial"/>
          <w:sz w:val="18"/>
          <w:szCs w:val="18"/>
          <w:color w:val="auto"/>
        </w:rPr>
        <w:t>1.5</w:t>
        <w:tab/>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provisions of any and all laws, regulations and standards determined by any governmental or regulatory authority, including common law, and any generally applicable industry or self-regulatory standards, codes of practice and guidelines or other applicable matters of a similar nature, including Compliance Laws, that are in force from time to time during the Term, whether the same are regional, national or international.</w:t>
      </w:r>
    </w:p>
    <w:p>
      <w:pPr>
        <w:spacing w:after="0" w:line="177" w:lineRule="exact"/>
        <w:rPr>
          <w:sz w:val="20"/>
          <w:szCs w:val="20"/>
          <w:color w:val="auto"/>
        </w:rPr>
      </w:pPr>
    </w:p>
    <w:p>
      <w:pPr>
        <w:jc w:val="both"/>
        <w:ind w:left="460" w:hanging="635"/>
        <w:spacing w:after="0" w:line="276" w:lineRule="auto"/>
        <w:tabs>
          <w:tab w:leader="none" w:pos="440" w:val="left"/>
        </w:tabs>
        <w:rPr>
          <w:sz w:val="20"/>
          <w:szCs w:val="20"/>
          <w:color w:val="auto"/>
        </w:rPr>
      </w:pPr>
      <w:r>
        <w:rPr>
          <w:rFonts w:ascii="Arial" w:cs="Arial" w:eastAsia="Arial" w:hAnsi="Arial"/>
          <w:sz w:val="18"/>
          <w:szCs w:val="18"/>
          <w:color w:val="auto"/>
        </w:rPr>
        <w:t>1.6</w:t>
        <w:tab/>
        <w:t>“</w:t>
      </w:r>
      <w:r>
        <w:rPr>
          <w:rFonts w:ascii="Arial" w:cs="Arial" w:eastAsia="Arial" w:hAnsi="Arial"/>
          <w:sz w:val="18"/>
          <w:szCs w:val="18"/>
          <w:b w:val="1"/>
          <w:bCs w:val="1"/>
          <w:color w:val="auto"/>
        </w:rPr>
        <w:t>Auto-HSCT Treatments</w:t>
      </w:r>
      <w:r>
        <w:rPr>
          <w:rFonts w:ascii="Arial" w:cs="Arial" w:eastAsia="Arial" w:hAnsi="Arial"/>
          <w:sz w:val="18"/>
          <w:szCs w:val="18"/>
          <w:color w:val="auto"/>
        </w:rPr>
        <w:t>” means autologous hematopoietic stem cell transplantation, (i.e. where the donor and the recipient are one and a same person).</w:t>
      </w:r>
    </w:p>
    <w:p>
      <w:pPr>
        <w:spacing w:after="0" w:line="16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Binding Forecast</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60" w:hanging="635"/>
        <w:spacing w:after="0" w:line="256" w:lineRule="auto"/>
        <w:tabs>
          <w:tab w:leader="none" w:pos="5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in each year during the Term, each of the following periods, as applicable: (i) January 1 to March 31, inclusive; (ii) April 1 to June 30, inclusive; (iii) July 1 to September 30, inclusive; and (iv) October 1 to December 31, inclusive, provided that the first Calendar Quarter shall mean the period beginning on the Effective Date and ending on the last day of the calendar quarter within which the Effective Date falls and the last calendar quarter shall end on the last day of the Term.</w:t>
      </w:r>
    </w:p>
    <w:p>
      <w:pPr>
        <w:spacing w:after="0" w:line="17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Clinical Studies</w:t>
      </w:r>
      <w:r>
        <w:rPr>
          <w:rFonts w:ascii="Arial" w:cs="Arial" w:eastAsia="Arial" w:hAnsi="Arial"/>
          <w:sz w:val="17"/>
          <w:szCs w:val="17"/>
          <w:color w:val="auto"/>
        </w:rPr>
        <w:t>” means interventional human clinical trials for a Licensed Product.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CMO Costs</w:t>
      </w:r>
      <w:r>
        <w:rPr>
          <w:rFonts w:ascii="Arial" w:cs="Arial" w:eastAsia="Arial" w:hAnsi="Arial"/>
          <w:sz w:val="17"/>
          <w:szCs w:val="17"/>
          <w:color w:val="auto"/>
        </w:rPr>
        <w:t xml:space="preserve">” has the meaning given to such term in </w:t>
      </w:r>
      <w:r>
        <w:rPr>
          <w:rFonts w:ascii="Arial" w:cs="Arial" w:eastAsia="Arial" w:hAnsi="Arial"/>
          <w:sz w:val="17"/>
          <w:szCs w:val="17"/>
          <w:b w:val="1"/>
          <w:bCs w:val="1"/>
          <w:color w:val="auto"/>
        </w:rPr>
        <w:t>Appendix A</w:t>
      </w:r>
      <w:r>
        <w:rPr>
          <w:rFonts w:ascii="Arial" w:cs="Arial" w:eastAsia="Arial" w:hAnsi="Arial"/>
          <w:sz w:val="17"/>
          <w:szCs w:val="17"/>
          <w:color w:val="auto"/>
        </w:rPr>
        <w: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CMO Percentage</w:t>
      </w:r>
      <w:r>
        <w:rPr>
          <w:rFonts w:ascii="Arial" w:cs="Arial" w:eastAsia="Arial" w:hAnsi="Arial"/>
          <w:sz w:val="17"/>
          <w:szCs w:val="17"/>
          <w:color w:val="auto"/>
        </w:rPr>
        <w:t xml:space="preserve">” has the meaning given to such term in </w:t>
      </w:r>
      <w:r>
        <w:rPr>
          <w:rFonts w:ascii="Arial" w:cs="Arial" w:eastAsia="Arial" w:hAnsi="Arial"/>
          <w:sz w:val="17"/>
          <w:szCs w:val="17"/>
          <w:b w:val="1"/>
          <w:bCs w:val="1"/>
          <w:color w:val="auto"/>
        </w:rPr>
        <w:t>Appendix A</w:t>
      </w:r>
      <w:r>
        <w:rPr>
          <w:rFonts w:ascii="Arial" w:cs="Arial" w:eastAsia="Arial" w:hAnsi="Arial"/>
          <w:sz w:val="17"/>
          <w:szCs w:val="17"/>
          <w:color w:val="auto"/>
        </w:rPr>
        <w: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12.7.1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40" w:hanging="635"/>
        <w:spacing w:after="0" w:line="267"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either Party, the level of efforts and resources commonly used in the research-based pharmaceutical industry by a company similar in size and scope to such Party together with its Affiliates in pursing the research, development and commercialization of compounds or products of similar market potential at a similar stage in development or product life as Licensed Product, taking into account the conditions then prevailing, including efficacy, safety, product profile, the competitiveness of alternative products in the marketplace, other approved indications for the product, the patent and other proprietary position of the product, ability to finance the project, medical and clinical considerations, the likelihood of regulatory approval given the regulatory structure involved, the expected profitability and value of the product, including development and commercialization risks, the royalties payable to licensors of patent or other rights, and the costs of development, manufacture and marketing.</w:t>
      </w:r>
    </w:p>
    <w:p>
      <w:pPr>
        <w:spacing w:after="0" w:line="168" w:lineRule="exact"/>
        <w:rPr>
          <w:sz w:val="20"/>
          <w:szCs w:val="20"/>
          <w:color w:val="auto"/>
        </w:rPr>
      </w:pPr>
    </w:p>
    <w:p>
      <w:pPr>
        <w:jc w:val="both"/>
        <w:ind w:left="640" w:hanging="635"/>
        <w:spacing w:after="0" w:line="276"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CXC Chemokine Receptor (CXCR4) antagonist for which a marketing authorization has been obtained that includes a label for the treatment of WHIM syndrome or chronic neutropenia.</w:t>
      </w:r>
    </w:p>
    <w:p>
      <w:pPr>
        <w:spacing w:after="0" w:line="160" w:lineRule="exact"/>
        <w:rPr>
          <w:sz w:val="20"/>
          <w:szCs w:val="20"/>
          <w:color w:val="auto"/>
        </w:rPr>
      </w:pPr>
    </w:p>
    <w:p>
      <w:pPr>
        <w:jc w:val="both"/>
        <w:ind w:left="640" w:hanging="635"/>
        <w:spacing w:after="0" w:line="275" w:lineRule="auto"/>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know-how and other proprietary information and data of a financial, commercial or technical nature which the disclosing Party or any of its Affiliates (the "</w:t>
      </w:r>
      <w:r>
        <w:rPr>
          <w:rFonts w:ascii="Arial" w:cs="Arial" w:eastAsia="Arial" w:hAnsi="Arial"/>
          <w:sz w:val="17"/>
          <w:szCs w:val="17"/>
          <w:b w:val="1"/>
          <w:bCs w:val="1"/>
          <w:color w:val="auto"/>
        </w:rPr>
        <w:t>Disclosing Party</w:t>
      </w:r>
      <w:r>
        <w:rPr>
          <w:rFonts w:ascii="Arial" w:cs="Arial" w:eastAsia="Arial" w:hAnsi="Arial"/>
          <w:sz w:val="17"/>
          <w:szCs w:val="17"/>
          <w:color w:val="auto"/>
        </w:rPr>
        <w:t>") has supplied or otherwise made available to the other Party or any of its Affiliates (the "</w:t>
      </w:r>
      <w:r>
        <w:rPr>
          <w:rFonts w:ascii="Arial" w:cs="Arial" w:eastAsia="Arial" w:hAnsi="Arial"/>
          <w:sz w:val="17"/>
          <w:szCs w:val="17"/>
          <w:b w:val="1"/>
          <w:bCs w:val="1"/>
          <w:color w:val="auto"/>
        </w:rPr>
        <w:t>Recipient Party</w:t>
      </w:r>
      <w:r>
        <w:rPr>
          <w:rFonts w:ascii="Arial" w:cs="Arial" w:eastAsia="Arial" w:hAnsi="Arial"/>
          <w:sz w:val="17"/>
          <w:szCs w:val="17"/>
          <w:color w:val="auto"/>
        </w:rPr>
        <w:t>"), whether made available orally, in writing or in electronic form, including information comprising or relating to concepts, discoveries, inventions, data, designs or formulae in relation to this Agreement.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385445</wp:posOffset>
            </wp:positionV>
            <wp:extent cx="7134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3" w:right="339" w:bottom="1440" w:gutter="0" w:footer="0" w:header="0"/>
        </w:sectPr>
      </w:pPr>
    </w:p>
    <w:bookmarkStart w:id="127" w:name="page128"/>
    <w:bookmarkEnd w:id="127"/>
    <w:p>
      <w:pPr>
        <w:ind w:left="640" w:right="20"/>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6">
                      <a:extLst>
                        <a:ext uri="{28A0092B-C50C-407E-A947-70E740481C1C}"/>
                      </a:extLst>
                    </a:blip>
                    <a:srcRect/>
                    <a:stretch>
                      <a:fillRect/>
                    </a:stretch>
                  </pic:blipFill>
                  <pic:spPr bwMode="auto">
                    <a:xfrm>
                      <a:off x="0" y="0"/>
                      <a:ext cx="7134860" cy="8255"/>
                    </a:xfrm>
                    <a:prstGeom prst="rect">
                      <a:avLst/>
                    </a:prstGeom>
                    <a:noFill/>
                  </pic:spPr>
                </pic:pic>
              </a:graphicData>
            </a:graphic>
          </wp:anchor>
        </w:drawing>
        <w:t>foregoing, the existence of, and the terms and conditions of, this Agreement shall be considered Confidential Information of each of X4 and Licensee.</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Consulted Party</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40" w:hanging="635"/>
        <w:spacing w:after="0" w:line="253" w:lineRule="auto"/>
        <w:tabs>
          <w:tab w:leader="none" w:pos="520" w:val="left"/>
        </w:tabs>
        <w:rPr>
          <w:sz w:val="20"/>
          <w:szCs w:val="20"/>
          <w:color w:val="auto"/>
        </w:rPr>
      </w:pPr>
      <w:r>
        <w:rPr>
          <w:rFonts w:ascii="Arial" w:cs="Arial" w:eastAsia="Arial" w:hAnsi="Arial"/>
          <w:sz w:val="18"/>
          <w:szCs w:val="18"/>
          <w:color w:val="auto"/>
        </w:rPr>
        <w:t>1.17</w:t>
        <w:tab/>
        <w:t>“</w:t>
      </w:r>
      <w:r>
        <w:rPr>
          <w:rFonts w:ascii="Arial" w:cs="Arial" w:eastAsia="Arial" w:hAnsi="Arial"/>
          <w:sz w:val="18"/>
          <w:szCs w:val="18"/>
          <w:b w:val="1"/>
          <w:bCs w:val="1"/>
          <w:color w:val="auto"/>
        </w:rPr>
        <w:t>Controlled</w:t>
      </w:r>
      <w:r>
        <w:rPr>
          <w:rFonts w:ascii="Arial" w:cs="Arial" w:eastAsia="Arial" w:hAnsi="Arial"/>
          <w:sz w:val="18"/>
          <w:szCs w:val="18"/>
          <w:color w:val="auto"/>
        </w:rPr>
        <w:t>” or “</w:t>
      </w:r>
      <w:r>
        <w:rPr>
          <w:rFonts w:ascii="Arial" w:cs="Arial" w:eastAsia="Arial" w:hAnsi="Arial"/>
          <w:sz w:val="18"/>
          <w:szCs w:val="18"/>
          <w:b w:val="1"/>
          <w:bCs w:val="1"/>
          <w:color w:val="auto"/>
        </w:rPr>
        <w:t>Controls</w:t>
      </w:r>
      <w:r>
        <w:rPr>
          <w:rFonts w:ascii="Arial" w:cs="Arial" w:eastAsia="Arial" w:hAnsi="Arial"/>
          <w:sz w:val="18"/>
          <w:szCs w:val="18"/>
          <w:color w:val="auto"/>
        </w:rPr>
        <w:t>”, when used in reference to intellectual property, shall mean the legal authority or right of a Party (or any of its Affiliates) to grant a license or sublicense of intellectual property rights to the other Party, or to otherwise disclose proprietary or trade secret information to the other Party, without breaching the terms of any agreement with a Third Party, infringing upon the intellectual property rights of a Third Party, or misappropriating the proprietary or trade secret information of a Third Party. This term may be used herein as a noun.</w:t>
      </w:r>
    </w:p>
    <w:p>
      <w:pPr>
        <w:spacing w:after="0" w:line="181" w:lineRule="exact"/>
        <w:rPr>
          <w:sz w:val="20"/>
          <w:szCs w:val="20"/>
          <w:color w:val="auto"/>
        </w:rPr>
      </w:pPr>
    </w:p>
    <w:p>
      <w:pPr>
        <w:jc w:val="both"/>
        <w:ind w:left="560" w:hanging="635"/>
        <w:spacing w:after="0" w:line="261" w:lineRule="auto"/>
        <w:tabs>
          <w:tab w:leader="none" w:pos="540" w:val="left"/>
        </w:tabs>
        <w:rPr>
          <w:sz w:val="20"/>
          <w:szCs w:val="20"/>
          <w:color w:val="auto"/>
        </w:rPr>
      </w:pPr>
      <w:r>
        <w:rPr>
          <w:rFonts w:ascii="Arial" w:cs="Arial" w:eastAsia="Arial" w:hAnsi="Arial"/>
          <w:sz w:val="18"/>
          <w:szCs w:val="18"/>
          <w:color w:val="auto"/>
        </w:rPr>
        <w:t>1.18</w:t>
        <w:tab/>
        <w:t>“</w:t>
      </w:r>
      <w:r>
        <w:rPr>
          <w:rFonts w:ascii="Arial" w:cs="Arial" w:eastAsia="Arial" w:hAnsi="Arial"/>
          <w:sz w:val="18"/>
          <w:szCs w:val="18"/>
          <w:b w:val="1"/>
          <w:bCs w:val="1"/>
          <w:color w:val="auto"/>
        </w:rPr>
        <w:t>Covered</w:t>
      </w:r>
      <w:r>
        <w:rPr>
          <w:rFonts w:ascii="Arial" w:cs="Arial" w:eastAsia="Arial" w:hAnsi="Arial"/>
          <w:sz w:val="18"/>
          <w:szCs w:val="18"/>
          <w:color w:val="auto"/>
        </w:rPr>
        <w:t>” by a Patent means, with respect to a given invention, that a claim (absent a license thereunder or ownership thereof) of such Patent would be infringed by the exploitation of such invention; if a claim is a pending claim, then such pending claim shall be treated as if it were issued for the purposes of determining infringement at the time coverage is assessed.</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Delivery Notification</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4.5.1</w:t>
      </w:r>
      <w:r>
        <w:rPr>
          <w:rFonts w:ascii="Arial" w:cs="Arial" w:eastAsia="Arial" w:hAnsi="Arial"/>
          <w:sz w:val="17"/>
          <w:szCs w:val="17"/>
          <w:color w:val="auto"/>
        </w:rPr>
        <w:t xml:space="preserve"> of this Agreement</w:t>
      </w:r>
      <w:r>
        <w:rPr>
          <w:rFonts w:ascii="Arial" w:cs="Arial" w:eastAsia="Arial" w:hAnsi="Arial"/>
          <w:sz w:val="17"/>
          <w:szCs w:val="17"/>
          <w:u w:val="single" w:color="auto"/>
          <w:color w:val="auto"/>
        </w:rPr>
        <w: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Dispute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15.1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40" w:right="20" w:hanging="635"/>
        <w:spacing w:after="0" w:line="276" w:lineRule="auto"/>
        <w:tabs>
          <w:tab w:leader="none" w:pos="520" w:val="left"/>
        </w:tabs>
        <w:rPr>
          <w:sz w:val="20"/>
          <w:szCs w:val="20"/>
          <w:color w:val="auto"/>
        </w:rPr>
      </w:pPr>
      <w:r>
        <w:rPr>
          <w:rFonts w:ascii="Arial" w:cs="Arial" w:eastAsia="Arial" w:hAnsi="Arial"/>
          <w:sz w:val="18"/>
          <w:szCs w:val="18"/>
          <w:color w:val="auto"/>
        </w:rPr>
        <w:t>1.21</w:t>
        <w:tab/>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and all divisions under its direct control or any successor organizations and, with respect to any Marketing Authorization in the European Union, includes the European Commission.</w:t>
      </w:r>
    </w:p>
    <w:p>
      <w:pPr>
        <w:spacing w:after="0" w:line="160" w:lineRule="exact"/>
        <w:rPr>
          <w:sz w:val="20"/>
          <w:szCs w:val="20"/>
          <w:color w:val="auto"/>
        </w:rPr>
      </w:pPr>
    </w:p>
    <w:p>
      <w:pPr>
        <w:jc w:val="both"/>
        <w:ind w:left="540" w:hanging="635"/>
        <w:spacing w:after="0" w:line="276" w:lineRule="auto"/>
        <w:tabs>
          <w:tab w:leader="none" w:pos="520" w:val="left"/>
        </w:tabs>
        <w:rPr>
          <w:sz w:val="20"/>
          <w:szCs w:val="20"/>
          <w:color w:val="auto"/>
        </w:rPr>
      </w:pPr>
      <w:r>
        <w:rPr>
          <w:rFonts w:ascii="Arial" w:cs="Arial" w:eastAsia="Arial" w:hAnsi="Arial"/>
          <w:sz w:val="18"/>
          <w:szCs w:val="18"/>
          <w:color w:val="auto"/>
        </w:rPr>
        <w:t>1.22</w:t>
        <w:tab/>
        <w:t>“</w:t>
      </w:r>
      <w:r>
        <w:rPr>
          <w:rFonts w:ascii="Arial" w:cs="Arial" w:eastAsia="Arial" w:hAnsi="Arial"/>
          <w:sz w:val="18"/>
          <w:szCs w:val="18"/>
          <w:b w:val="1"/>
          <w:bCs w:val="1"/>
          <w:color w:val="auto"/>
        </w:rPr>
        <w:t>Euro</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currency by the countries in eurozone (being certain member states of the European Union); provided that if the Euro ceases to exist then the currency adopted by the Netherlands shall replace Euro in this Agreement.</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5.4.2.</w:t>
      </w:r>
    </w:p>
    <w:p>
      <w:pPr>
        <w:spacing w:after="0" w:line="2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all therapeutic, prophylactic and diagnostic uses in humans for all indications, excluding (a) the Mozobil Indications, and</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any use for Auto-HSCT Treatments and Allo-HSCT Treatments.</w:t>
      </w:r>
    </w:p>
    <w:p>
      <w:pPr>
        <w:spacing w:after="0" w:line="199" w:lineRule="exact"/>
        <w:rPr>
          <w:sz w:val="20"/>
          <w:szCs w:val="20"/>
          <w:color w:val="auto"/>
        </w:rPr>
      </w:pPr>
    </w:p>
    <w:p>
      <w:pPr>
        <w:jc w:val="both"/>
        <w:ind w:left="640" w:hanging="635"/>
        <w:spacing w:after="0" w:line="253"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Licensed Product in a country in the Territory, the first sale to a Third Party for monetary value for use or consumption by the general public of such Licensed Product in such country after the Relevant Regulatory Authority has approved the Marketing Authorization for such Licensed Product in such country. Sales prior to the approval of the applicable Marketing Authorization, such as so called “treatment IND sales”, “named patient sales” and “compassionate use sales”, shall not constitute a First Commercial Sale.</w:t>
      </w:r>
    </w:p>
    <w:p>
      <w:pPr>
        <w:spacing w:after="0" w:line="181" w:lineRule="exact"/>
        <w:rPr>
          <w:sz w:val="20"/>
          <w:szCs w:val="20"/>
          <w:color w:val="auto"/>
        </w:rPr>
      </w:pPr>
    </w:p>
    <w:p>
      <w:pPr>
        <w:jc w:val="both"/>
        <w:ind w:left="540" w:hanging="635"/>
        <w:spacing w:after="0" w:line="253" w:lineRule="auto"/>
        <w:tabs>
          <w:tab w:leader="none" w:pos="520" w:val="left"/>
        </w:tabs>
        <w:rPr>
          <w:sz w:val="20"/>
          <w:szCs w:val="20"/>
          <w:color w:val="auto"/>
        </w:rPr>
      </w:pPr>
      <w:r>
        <w:rPr>
          <w:rFonts w:ascii="Arial" w:cs="Arial" w:eastAsia="Arial" w:hAnsi="Arial"/>
          <w:sz w:val="18"/>
          <w:szCs w:val="18"/>
          <w:color w:val="auto"/>
        </w:rPr>
        <w:t>1.26</w:t>
        <w:tab/>
        <w:t>“</w:t>
      </w:r>
      <w:r>
        <w:rPr>
          <w:rFonts w:ascii="Arial" w:cs="Arial" w:eastAsia="Arial" w:hAnsi="Arial"/>
          <w:sz w:val="18"/>
          <w:szCs w:val="18"/>
          <w:b w:val="1"/>
          <w:bCs w:val="1"/>
          <w:color w:val="auto"/>
        </w:rPr>
        <w:t>Force Majeure</w:t>
      </w:r>
      <w:r>
        <w:rPr>
          <w:rFonts w:ascii="Arial" w:cs="Arial" w:eastAsia="Arial" w:hAnsi="Arial"/>
          <w:sz w:val="18"/>
          <w:szCs w:val="18"/>
          <w:color w:val="auto"/>
        </w:rPr>
        <w:t>” means any cause preventing either Party from performing any or all of its obligations which arises from or is attributable to acts, events, omissions or accidents beyond the reasonable control of the Party so prevented or its suppliers or subcontractors including without limitation strikes, lock-outs or other industrial disputes (whether involving the workforce of the Party so prevented or of any other Party), act of God, war, riot, civil commotion, malicious damage, pandemic, compliance with any Applicable Law coming into effect after the date hereof, accident, breakdown of plant or machinery, fire, flood, or storm.</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xml:space="preserve">” has the meaning given to such term in </w:t>
      </w:r>
      <w:r>
        <w:rPr>
          <w:rFonts w:ascii="Arial" w:cs="Arial" w:eastAsia="Arial" w:hAnsi="Arial"/>
          <w:sz w:val="17"/>
          <w:szCs w:val="17"/>
          <w:b w:val="1"/>
          <w:bCs w:val="1"/>
          <w:color w:val="auto"/>
        </w:rPr>
        <w:t>Appendix A</w:t>
      </w:r>
      <w:r>
        <w:rPr>
          <w:rFonts w:ascii="Arial" w:cs="Arial" w:eastAsia="Arial" w:hAnsi="Arial"/>
          <w:sz w:val="17"/>
          <w:szCs w:val="17"/>
          <w:color w:val="auto"/>
        </w:rPr>
        <w: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FTE Rate</w:t>
      </w:r>
      <w:r>
        <w:rPr>
          <w:rFonts w:ascii="Arial" w:cs="Arial" w:eastAsia="Arial" w:hAnsi="Arial"/>
          <w:sz w:val="17"/>
          <w:szCs w:val="17"/>
          <w:color w:val="auto"/>
        </w:rPr>
        <w:t xml:space="preserve">” has the meaning given to such term in </w:t>
      </w:r>
      <w:r>
        <w:rPr>
          <w:rFonts w:ascii="Arial" w:cs="Arial" w:eastAsia="Arial" w:hAnsi="Arial"/>
          <w:sz w:val="17"/>
          <w:szCs w:val="17"/>
          <w:b w:val="1"/>
          <w:bCs w:val="1"/>
          <w:color w:val="auto"/>
        </w:rPr>
        <w:t>Appendix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419100</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5" w:right="339" w:bottom="1440" w:gutter="0" w:footer="0" w:header="0"/>
        </w:sectPr>
      </w:pPr>
    </w:p>
    <w:bookmarkStart w:id="128" w:name="page129"/>
    <w:bookmarkEnd w:id="128"/>
    <w:p>
      <w:pPr>
        <w:jc w:val="both"/>
        <w:ind w:left="580" w:hanging="635"/>
        <w:spacing w:after="0" w:line="24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7134860" cy="8255"/>
                    </a:xfrm>
                    <a:prstGeom prst="rect">
                      <a:avLst/>
                    </a:prstGeom>
                    <a:noFill/>
                  </pic:spPr>
                </pic:pic>
              </a:graphicData>
            </a:graphic>
          </wp:anchor>
        </w:drawing>
        <w:t>1.29</w:t>
        <w:tab/>
        <w:t>“</w:t>
      </w:r>
      <w:r>
        <w:rPr>
          <w:rFonts w:ascii="Arial" w:cs="Arial" w:eastAsia="Arial" w:hAnsi="Arial"/>
          <w:sz w:val="18"/>
          <w:szCs w:val="18"/>
          <w:b w:val="1"/>
          <w:bCs w:val="1"/>
          <w:color w:val="auto"/>
        </w:rPr>
        <w:t>Generic Product</w:t>
      </w:r>
      <w:r>
        <w:rPr>
          <w:rFonts w:ascii="Arial" w:cs="Arial" w:eastAsia="Arial" w:hAnsi="Arial"/>
          <w:sz w:val="18"/>
          <w:szCs w:val="18"/>
          <w:color w:val="auto"/>
        </w:rPr>
        <w:t>” means, with respect to the Licensed Product, any product that is sold by a Third Party under a regulatory approval granted by a Relevant Regulatory Authority to a Third Party, which Third Party has not obtained the right to market or sell such product from Licensee (including as a sublicensee, subcontractor, or distributor of Licensee or any of its Affiliates), and is approved in reliance, in whole or in part, on the prior approval (or on data supporting safety or efficacy data submitted in support of the prior approval) of the Licensed Product as determined by the applicable Relevant Regulatory Authority, including without limitation any product authorized for sale (i) in the European Union pursuant to a provision of Articles 10, 10a or 10b of Parliament and Council Directive 2001/83/EC as amended (including an application under Article 6.1 of Parliament and Council Regulation (EC) No 726/2004 that relies for its content on any such provision), or (ii) in any other country or jurisdiction pursuant to the equivalents of such provisions, including any amendments and successor statutes with respect to the subsections (i) through (ii).</w:t>
      </w:r>
    </w:p>
    <w:p>
      <w:pPr>
        <w:spacing w:after="0" w:line="18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Genzyme</w:t>
      </w:r>
      <w:r>
        <w:rPr>
          <w:rFonts w:ascii="Arial" w:cs="Arial" w:eastAsia="Arial" w:hAnsi="Arial"/>
          <w:sz w:val="17"/>
          <w:szCs w:val="17"/>
          <w:color w:val="auto"/>
        </w:rPr>
        <w:t>” has the meaning given to such term in the recitals to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Genzyme Patents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10.5.2.6</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20" w:hanging="635"/>
        <w:spacing w:after="0" w:line="261" w:lineRule="auto"/>
        <w:tabs>
          <w:tab w:leader="none" w:pos="600" w:val="left"/>
        </w:tabs>
        <w:rPr>
          <w:sz w:val="20"/>
          <w:szCs w:val="20"/>
          <w:color w:val="auto"/>
        </w:rPr>
      </w:pPr>
      <w:r>
        <w:rPr>
          <w:rFonts w:ascii="Arial" w:cs="Arial" w:eastAsia="Arial" w:hAnsi="Arial"/>
          <w:sz w:val="18"/>
          <w:szCs w:val="18"/>
          <w:color w:val="auto"/>
        </w:rPr>
        <w:t>1.32</w:t>
        <w:tab/>
        <w:t>“</w:t>
      </w:r>
      <w:r>
        <w:rPr>
          <w:rFonts w:ascii="Arial" w:cs="Arial" w:eastAsia="Arial" w:hAnsi="Arial"/>
          <w:sz w:val="18"/>
          <w:szCs w:val="18"/>
          <w:b w:val="1"/>
          <w:bCs w:val="1"/>
          <w:color w:val="auto"/>
        </w:rPr>
        <w:t>Genzyme Trademark</w:t>
      </w:r>
      <w:r>
        <w:rPr>
          <w:rFonts w:ascii="Arial" w:cs="Arial" w:eastAsia="Arial" w:hAnsi="Arial"/>
          <w:sz w:val="18"/>
          <w:szCs w:val="18"/>
          <w:color w:val="auto"/>
        </w:rPr>
        <w:t>” means any word, name, symbol, color, designation or device or any combination thereof that functions as a source identifier, including any trademark, trade dress, brand mark, service mark, trade name, brand name, logo or business symbol, whether or not registered, of Genzyme or its Affiliates.</w:t>
      </w:r>
    </w:p>
    <w:p>
      <w:pPr>
        <w:spacing w:after="0" w:line="173" w:lineRule="exact"/>
        <w:rPr>
          <w:sz w:val="20"/>
          <w:szCs w:val="20"/>
          <w:color w:val="auto"/>
        </w:rPr>
      </w:pPr>
    </w:p>
    <w:p>
      <w:pPr>
        <w:jc w:val="both"/>
        <w:ind w:left="620" w:hanging="635"/>
        <w:spacing w:after="0" w:line="256" w:lineRule="auto"/>
        <w:tabs>
          <w:tab w:leader="none" w:pos="600" w:val="left"/>
        </w:tabs>
        <w:rPr>
          <w:sz w:val="20"/>
          <w:szCs w:val="20"/>
          <w:color w:val="auto"/>
        </w:rPr>
      </w:pPr>
      <w:r>
        <w:rPr>
          <w:rFonts w:ascii="Arial" w:cs="Arial" w:eastAsia="Arial" w:hAnsi="Arial"/>
          <w:sz w:val="18"/>
          <w:szCs w:val="18"/>
          <w:color w:val="auto"/>
        </w:rPr>
        <w:t>1.33</w:t>
        <w:tab/>
        <w:t>“</w:t>
      </w:r>
      <w:r>
        <w:rPr>
          <w:rFonts w:ascii="Arial" w:cs="Arial" w:eastAsia="Arial" w:hAnsi="Arial"/>
          <w:sz w:val="18"/>
          <w:szCs w:val="18"/>
          <w:b w:val="1"/>
          <w:bCs w:val="1"/>
          <w:color w:val="auto"/>
        </w:rPr>
        <w:t>Good Distribution Practice</w:t>
      </w:r>
      <w:r>
        <w:rPr>
          <w:rFonts w:ascii="Arial" w:cs="Arial" w:eastAsia="Arial" w:hAnsi="Arial"/>
          <w:sz w:val="18"/>
          <w:szCs w:val="18"/>
          <w:color w:val="auto"/>
        </w:rPr>
        <w:t>” or “</w:t>
      </w:r>
      <w:r>
        <w:rPr>
          <w:rFonts w:ascii="Arial" w:cs="Arial" w:eastAsia="Arial" w:hAnsi="Arial"/>
          <w:sz w:val="18"/>
          <w:szCs w:val="18"/>
          <w:b w:val="1"/>
          <w:bCs w:val="1"/>
          <w:color w:val="auto"/>
        </w:rPr>
        <w:t>GDP</w:t>
      </w:r>
      <w:r>
        <w:rPr>
          <w:rFonts w:ascii="Arial" w:cs="Arial" w:eastAsia="Arial" w:hAnsi="Arial"/>
          <w:sz w:val="18"/>
          <w:szCs w:val="18"/>
          <w:color w:val="auto"/>
        </w:rPr>
        <w:t>” means the applicable regulatory standards and principles and guidelines of good distribution practice as in force from time to time relating to the warehousing, storage and physical distribution of medicinal products established by the Relevant Regulatory Authority including, without limitation, the European Commission Guidelines on Good Distribution Practice of Medicinal Products for Human Use (2013/C 343/01), as the same may be amended from time to time.</w:t>
      </w:r>
    </w:p>
    <w:p>
      <w:pPr>
        <w:spacing w:after="0" w:line="177" w:lineRule="exact"/>
        <w:rPr>
          <w:sz w:val="20"/>
          <w:szCs w:val="20"/>
          <w:color w:val="auto"/>
        </w:rPr>
      </w:pPr>
    </w:p>
    <w:p>
      <w:pPr>
        <w:jc w:val="both"/>
        <w:ind w:left="640" w:hanging="635"/>
        <w:spacing w:after="0" w:line="261"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Good Manufacturing Practice</w:t>
      </w:r>
      <w:r>
        <w:rPr>
          <w:rFonts w:ascii="Arial" w:cs="Arial" w:eastAsia="Arial" w:hAnsi="Arial"/>
          <w:sz w:val="18"/>
          <w:szCs w:val="18"/>
          <w:color w:val="auto"/>
        </w:rPr>
        <w:t>” or “</w:t>
      </w:r>
      <w:r>
        <w:rPr>
          <w:rFonts w:ascii="Arial" w:cs="Arial" w:eastAsia="Arial" w:hAnsi="Arial"/>
          <w:sz w:val="18"/>
          <w:szCs w:val="18"/>
          <w:b w:val="1"/>
          <w:bCs w:val="1"/>
          <w:color w:val="auto"/>
        </w:rPr>
        <w:t>GMP</w:t>
      </w:r>
      <w:r>
        <w:rPr>
          <w:rFonts w:ascii="Arial" w:cs="Arial" w:eastAsia="Arial" w:hAnsi="Arial"/>
          <w:sz w:val="18"/>
          <w:szCs w:val="18"/>
          <w:color w:val="auto"/>
        </w:rPr>
        <w:t>” means the applicable regulatory standards and principles and guidelines of good manufacturing practice as in force from time to time relating to the manufacturing of medicinal products established by the Relevant Regulatory Authority including, without limitation, the European Commission Directive (2003/94/EC).</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Head License</w:t>
      </w:r>
      <w:r>
        <w:rPr>
          <w:rFonts w:ascii="Arial" w:cs="Arial" w:eastAsia="Arial" w:hAnsi="Arial"/>
          <w:sz w:val="17"/>
          <w:szCs w:val="17"/>
          <w:color w:val="auto"/>
        </w:rPr>
        <w:t>” has the meaning given to such term in the recitals to this Agreement.</w:t>
      </w:r>
    </w:p>
    <w:p>
      <w:pPr>
        <w:spacing w:after="0" w:line="217" w:lineRule="exact"/>
        <w:rPr>
          <w:sz w:val="20"/>
          <w:szCs w:val="20"/>
          <w:color w:val="auto"/>
        </w:rPr>
      </w:pPr>
    </w:p>
    <w:p>
      <w:pPr>
        <w:jc w:val="both"/>
        <w:ind w:left="560" w:hanging="635"/>
        <w:spacing w:after="0" w:line="276" w:lineRule="auto"/>
        <w:tabs>
          <w:tab w:leader="none" w:pos="540" w:val="left"/>
        </w:tabs>
        <w:rPr>
          <w:sz w:val="20"/>
          <w:szCs w:val="20"/>
          <w:color w:val="auto"/>
        </w:rPr>
      </w:pPr>
      <w:r>
        <w:rPr>
          <w:rFonts w:ascii="Arial" w:cs="Arial" w:eastAsia="Arial" w:hAnsi="Arial"/>
          <w:sz w:val="18"/>
          <w:szCs w:val="18"/>
          <w:color w:val="auto"/>
        </w:rPr>
        <w:t>1.36</w:t>
        <w:tab/>
        <w:t>“</w:t>
      </w:r>
      <w:r>
        <w:rPr>
          <w:rFonts w:ascii="Arial" w:cs="Arial" w:eastAsia="Arial" w:hAnsi="Arial"/>
          <w:sz w:val="18"/>
          <w:szCs w:val="18"/>
          <w:b w:val="1"/>
          <w:bCs w:val="1"/>
          <w:color w:val="auto"/>
        </w:rPr>
        <w:t>Hercules Loan</w:t>
      </w:r>
      <w:r>
        <w:rPr>
          <w:rFonts w:ascii="Arial" w:cs="Arial" w:eastAsia="Arial" w:hAnsi="Arial"/>
          <w:sz w:val="18"/>
          <w:szCs w:val="18"/>
          <w:color w:val="auto"/>
        </w:rPr>
        <w:t>” means the Amended and Restated Loan and Security Agreement between, amongst others, X4 and Hercules Capital, Inc. dated June 27, 2019, as amended on March 13, 2020, December 21, 2020, February 9, 2022 and June 30, 2022.</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18.3.1</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18.3.1</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Indemnitor</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18.3.1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40" w:hanging="635"/>
        <w:spacing w:after="0" w:line="252" w:lineRule="auto"/>
        <w:tabs>
          <w:tab w:leader="none" w:pos="6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all technical, scientific and other know-how and information, trade secrets, knowledge, technology, means, methods, processes, practices, formulas, instructions, skills, techniques, procedures, experiences, technical assistance, designs, drawings, assembly procedures, computer programs, specifications, data, results and other material, including Regulatory Documentation, pre-clinical trial results and results from human clinical trials for a Licensed Product and other tests and studies for a Licensed Product in human subjects, manufacturing procedures, test procedures, and purification and isolation techniques (whether or not confidential, proprietary, patented or patentable) in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395605</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3" w:right="339" w:bottom="1440" w:gutter="0" w:footer="0" w:header="0"/>
        </w:sectPr>
      </w:pPr>
    </w:p>
    <w:bookmarkStart w:id="129" w:name="page130"/>
    <w:bookmarkEnd w:id="129"/>
    <w:p>
      <w:pPr>
        <w:ind w:left="640"/>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0">
                      <a:extLst>
                        <a:ext uri="{28A0092B-C50C-407E-A947-70E740481C1C}"/>
                      </a:extLst>
                    </a:blip>
                    <a:srcRect/>
                    <a:stretch>
                      <a:fillRect/>
                    </a:stretch>
                  </pic:blipFill>
                  <pic:spPr bwMode="auto">
                    <a:xfrm>
                      <a:off x="0" y="0"/>
                      <a:ext cx="7134860" cy="8255"/>
                    </a:xfrm>
                    <a:prstGeom prst="rect">
                      <a:avLst/>
                    </a:prstGeom>
                    <a:noFill/>
                  </pic:spPr>
                </pic:pic>
              </a:graphicData>
            </a:graphic>
          </wp:anchor>
        </w:drawing>
        <w:t>electronic or any other form now known or hereafter developed, and all other discoveries, developments, inventions (whether or not confidential, proprietary, patented or patentable), and tangible embodiments of any of the foregoing.</w:t>
      </w:r>
    </w:p>
    <w:p>
      <w:pPr>
        <w:spacing w:after="0" w:line="16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Initial Term”</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40" w:hanging="635"/>
        <w:spacing w:after="0" w:line="276"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Compound</w:t>
      </w:r>
      <w:r>
        <w:rPr>
          <w:rFonts w:ascii="Arial" w:cs="Arial" w:eastAsia="Arial" w:hAnsi="Arial"/>
          <w:sz w:val="18"/>
          <w:szCs w:val="18"/>
          <w:color w:val="auto"/>
        </w:rPr>
        <w:t>” means N1-(1H-benzimidazol-2-ylmethyl)-N1-((8S)-5,6,7,8-tetrahydroquinolin-8-yl)-butane-1,4-diamine (also known as “mavorixafor”).</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Licensed IP</w:t>
      </w:r>
      <w:r>
        <w:rPr>
          <w:rFonts w:ascii="Arial" w:cs="Arial" w:eastAsia="Arial" w:hAnsi="Arial"/>
          <w:sz w:val="17"/>
          <w:szCs w:val="17"/>
          <w:color w:val="auto"/>
        </w:rPr>
        <w:t>” means the Licensed Know-How and the Licensed Patents.</w:t>
      </w:r>
    </w:p>
    <w:p>
      <w:pPr>
        <w:spacing w:after="0" w:line="217" w:lineRule="exact"/>
        <w:rPr>
          <w:sz w:val="20"/>
          <w:szCs w:val="20"/>
          <w:color w:val="auto"/>
        </w:rPr>
      </w:pPr>
    </w:p>
    <w:p>
      <w:pPr>
        <w:jc w:val="both"/>
        <w:ind w:left="600" w:hanging="635"/>
        <w:spacing w:after="0" w:line="261" w:lineRule="auto"/>
        <w:tabs>
          <w:tab w:leader="none" w:pos="580" w:val="left"/>
        </w:tabs>
        <w:rPr>
          <w:sz w:val="20"/>
          <w:szCs w:val="20"/>
          <w:color w:val="auto"/>
        </w:rPr>
      </w:pPr>
      <w:r>
        <w:rPr>
          <w:rFonts w:ascii="Arial" w:cs="Arial" w:eastAsia="Arial" w:hAnsi="Arial"/>
          <w:sz w:val="18"/>
          <w:szCs w:val="18"/>
          <w:color w:val="auto"/>
        </w:rPr>
        <w:t>1.45</w:t>
        <w:tab/>
        <w:t>“</w:t>
      </w:r>
      <w:r>
        <w:rPr>
          <w:rFonts w:ascii="Arial" w:cs="Arial" w:eastAsia="Arial" w:hAnsi="Arial"/>
          <w:sz w:val="18"/>
          <w:szCs w:val="18"/>
          <w:b w:val="1"/>
          <w:bCs w:val="1"/>
          <w:color w:val="auto"/>
        </w:rPr>
        <w:t>Licensed Know-How</w:t>
      </w:r>
      <w:r>
        <w:rPr>
          <w:rFonts w:ascii="Arial" w:cs="Arial" w:eastAsia="Arial" w:hAnsi="Arial"/>
          <w:sz w:val="18"/>
          <w:szCs w:val="18"/>
          <w:color w:val="auto"/>
        </w:rPr>
        <w:t>” means the Information Controlled by X4 or its Affiliates during the Term that is related to, and is necessary or useful for, the exploitation, commercialization, manufacture or development of, the Licensed Compounds and/or Licensed Products in the Territory.</w:t>
      </w:r>
    </w:p>
    <w:p>
      <w:pPr>
        <w:spacing w:after="0" w:line="173" w:lineRule="exact"/>
        <w:rPr>
          <w:sz w:val="20"/>
          <w:szCs w:val="20"/>
          <w:color w:val="auto"/>
        </w:rPr>
      </w:pPr>
    </w:p>
    <w:p>
      <w:pPr>
        <w:jc w:val="both"/>
        <w:ind w:left="640" w:hanging="635"/>
        <w:spacing w:after="0" w:line="288" w:lineRule="auto"/>
        <w:tabs>
          <w:tab w:leader="none" w:pos="6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Patents</w:t>
      </w:r>
      <w:r>
        <w:rPr>
          <w:rFonts w:ascii="Arial" w:cs="Arial" w:eastAsia="Arial" w:hAnsi="Arial"/>
          <w:sz w:val="18"/>
          <w:szCs w:val="18"/>
          <w:color w:val="auto"/>
        </w:rPr>
        <w:t xml:space="preserve">” means any Patents Controlled by X4 or its Affiliates in the Territory during the Term that Cover the Licensed Compound and/or Licensed Product or its use or manufacture, including the Patents set out in </w:t>
      </w:r>
      <w:r>
        <w:rPr>
          <w:rFonts w:ascii="Arial" w:cs="Arial" w:eastAsia="Arial" w:hAnsi="Arial"/>
          <w:sz w:val="18"/>
          <w:szCs w:val="18"/>
          <w:b w:val="1"/>
          <w:bCs w:val="1"/>
          <w:color w:val="auto"/>
        </w:rPr>
        <w:t>Appendix B</w:t>
      </w:r>
      <w:r>
        <w:rPr>
          <w:rFonts w:ascii="Arial" w:cs="Arial" w:eastAsia="Arial" w:hAnsi="Arial"/>
          <w:sz w:val="18"/>
          <w:szCs w:val="18"/>
          <w:color w:val="auto"/>
        </w:rPr>
        <w:t>.</w:t>
      </w:r>
    </w:p>
    <w:p>
      <w:pPr>
        <w:spacing w:after="0" w:line="139" w:lineRule="exact"/>
        <w:rPr>
          <w:sz w:val="20"/>
          <w:szCs w:val="20"/>
          <w:color w:val="auto"/>
        </w:rPr>
      </w:pPr>
    </w:p>
    <w:p>
      <w:pPr>
        <w:jc w:val="both"/>
        <w:ind w:left="600" w:hanging="635"/>
        <w:spacing w:after="0" w:line="276" w:lineRule="auto"/>
        <w:tabs>
          <w:tab w:leader="none" w:pos="580" w:val="left"/>
        </w:tabs>
        <w:rPr>
          <w:sz w:val="20"/>
          <w:szCs w:val="20"/>
          <w:color w:val="auto"/>
        </w:rPr>
      </w:pPr>
      <w:r>
        <w:rPr>
          <w:rFonts w:ascii="Arial" w:cs="Arial" w:eastAsia="Arial" w:hAnsi="Arial"/>
          <w:sz w:val="18"/>
          <w:szCs w:val="18"/>
          <w:color w:val="auto"/>
        </w:rPr>
        <w:t>1.47</w:t>
        <w:tab/>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pharmaceutical product containing a Licensed Compound, alone or in combination with one or more other active ingredients.</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Licensee Improvements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Licensee Indemnified Parties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center"/>
        <w:spacing w:after="0" w:line="276"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Marketing Authorization(s)</w:t>
      </w:r>
      <w:r>
        <w:rPr>
          <w:rFonts w:ascii="Arial" w:cs="Arial" w:eastAsia="Arial" w:hAnsi="Arial"/>
          <w:sz w:val="18"/>
          <w:szCs w:val="18"/>
          <w:color w:val="auto"/>
        </w:rPr>
        <w:t>” shall mean all approvals, licenses, registrations or authorizations of the competent Relevant Regulatory Authority in a country within the Territory, that are necessary for the marketing and sale of the Licensed Product in such country.</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Markings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8.5.2</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80" w:hanging="635"/>
        <w:spacing w:after="0" w:line="248" w:lineRule="auto"/>
        <w:tabs>
          <w:tab w:leader="none" w:pos="560" w:val="left"/>
        </w:tabs>
        <w:rPr>
          <w:sz w:val="20"/>
          <w:szCs w:val="20"/>
          <w:color w:val="auto"/>
        </w:rPr>
      </w:pPr>
      <w:r>
        <w:rPr>
          <w:rFonts w:ascii="Arial" w:cs="Arial" w:eastAsia="Arial" w:hAnsi="Arial"/>
          <w:sz w:val="18"/>
          <w:szCs w:val="18"/>
          <w:color w:val="auto"/>
        </w:rPr>
        <w:t>1.53</w:t>
        <w:tab/>
        <w:t>“</w:t>
      </w:r>
      <w:r>
        <w:rPr>
          <w:rFonts w:ascii="Arial" w:cs="Arial" w:eastAsia="Arial" w:hAnsi="Arial"/>
          <w:sz w:val="18"/>
          <w:szCs w:val="18"/>
          <w:b w:val="1"/>
          <w:bCs w:val="1"/>
          <w:color w:val="auto"/>
        </w:rPr>
        <w:t>Medical Affairs</w:t>
      </w:r>
      <w:r>
        <w:rPr>
          <w:rFonts w:ascii="Arial" w:cs="Arial" w:eastAsia="Arial" w:hAnsi="Arial"/>
          <w:sz w:val="18"/>
          <w:szCs w:val="18"/>
          <w:color w:val="auto"/>
        </w:rPr>
        <w:t>” or “</w:t>
      </w:r>
      <w:r>
        <w:rPr>
          <w:rFonts w:ascii="Arial" w:cs="Arial" w:eastAsia="Arial" w:hAnsi="Arial"/>
          <w:sz w:val="18"/>
          <w:szCs w:val="18"/>
          <w:b w:val="1"/>
          <w:bCs w:val="1"/>
          <w:color w:val="auto"/>
        </w:rPr>
        <w:t>Medical Affairs Activities</w:t>
      </w:r>
      <w:r>
        <w:rPr>
          <w:rFonts w:ascii="Arial" w:cs="Arial" w:eastAsia="Arial" w:hAnsi="Arial"/>
          <w:sz w:val="18"/>
          <w:szCs w:val="18"/>
          <w:color w:val="auto"/>
        </w:rPr>
        <w:t>” means activities designed to ensure or improve appropriate medical use of, conduct medical education of, or further research regarding, the Licensed Product, including by way of example: (a) activities of medical scientific liaisons who, among their other functions, may: (i) conduct service based medical activities including providing input and assistance with consultancy meetings; and/or (ii) deliver non promotional communications and conduct non promotional activities; (b) grants to support continuing medical education, symposia, or Third Party research related to the Licensed Product; (c) development, publication, and dissemination of publications relating to the Licensed Product; (d) medical information services provided in response to inquiries communicated via sales representatives or received by letter, phone call, or email; (e) conducting advisory board meetings, international advisory board activities or other consultant programs, including the engagement of key opinion leaders and health care professionals in individual or group advisory and consulting arrangements; and (f) conducting company sponsored studies and post marketing research or the evaluation of area of permissible scientific and medical inquiry (including, the evaluation of applications submitted to Licensee for support of off label or on label investigator initiated trials or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402590</wp:posOffset>
            </wp:positionV>
            <wp:extent cx="7134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5" w:right="339" w:bottom="1440" w:gutter="0" w:footer="0" w:header="0"/>
        </w:sectPr>
      </w:pPr>
    </w:p>
    <w:bookmarkStart w:id="130" w:name="page131"/>
    <w:bookmarkEnd w:id="130"/>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2">
                      <a:extLst>
                        <a:ext uri="{28A0092B-C50C-407E-A947-70E740481C1C}"/>
                      </a:extLst>
                    </a:blip>
                    <a:srcRect/>
                    <a:stretch>
                      <a:fillRect/>
                    </a:stretch>
                  </pic:blipFill>
                  <pic:spPr bwMode="auto">
                    <a:xfrm>
                      <a:off x="0" y="0"/>
                      <a:ext cx="7134860" cy="8255"/>
                    </a:xfrm>
                    <a:prstGeom prst="rect">
                      <a:avLst/>
                    </a:prstGeom>
                    <a:noFill/>
                  </pic:spPr>
                </pic:pic>
              </a:graphicData>
            </a:graphic>
          </wp:anchor>
        </w:drawing>
        <w:t>1.54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MHRA</w:t>
      </w:r>
      <w:r>
        <w:rPr>
          <w:rFonts w:ascii="Arial" w:cs="Arial" w:eastAsia="Arial" w:hAnsi="Arial"/>
          <w:sz w:val="17"/>
          <w:szCs w:val="17"/>
          <w:color w:val="auto"/>
        </w:rPr>
        <w:t>" means the Medicines and Healthcare Products Regulatory Agency of the United Kingdom, or any successor entity thereto.</w:t>
      </w:r>
    </w:p>
    <w:p>
      <w:pPr>
        <w:spacing w:after="0" w:line="217" w:lineRule="exact"/>
        <w:rPr>
          <w:sz w:val="20"/>
          <w:szCs w:val="20"/>
          <w:color w:val="auto"/>
        </w:rPr>
      </w:pPr>
    </w:p>
    <w:p>
      <w:pPr>
        <w:jc w:val="both"/>
        <w:ind w:left="540" w:hanging="635"/>
        <w:spacing w:after="0" w:line="276" w:lineRule="auto"/>
        <w:tabs>
          <w:tab w:leader="none" w:pos="520" w:val="left"/>
        </w:tabs>
        <w:rPr>
          <w:sz w:val="20"/>
          <w:szCs w:val="20"/>
          <w:color w:val="auto"/>
        </w:rPr>
      </w:pPr>
      <w:r>
        <w:rPr>
          <w:rFonts w:ascii="Arial" w:cs="Arial" w:eastAsia="Arial" w:hAnsi="Arial"/>
          <w:sz w:val="18"/>
          <w:szCs w:val="18"/>
          <w:color w:val="auto"/>
        </w:rPr>
        <w:t>1.55</w:t>
        <w:tab/>
        <w:t>“</w:t>
      </w:r>
      <w:r>
        <w:rPr>
          <w:rFonts w:ascii="Arial" w:cs="Arial" w:eastAsia="Arial" w:hAnsi="Arial"/>
          <w:sz w:val="18"/>
          <w:szCs w:val="18"/>
          <w:b w:val="1"/>
          <w:bCs w:val="1"/>
          <w:color w:val="auto"/>
        </w:rPr>
        <w:t>Mozobil Indications</w:t>
      </w:r>
      <w:r>
        <w:rPr>
          <w:rFonts w:ascii="Arial" w:cs="Arial" w:eastAsia="Arial" w:hAnsi="Arial"/>
          <w:sz w:val="18"/>
          <w:szCs w:val="18"/>
          <w:color w:val="auto"/>
        </w:rPr>
        <w:t>” means mobilization of hematopoietic stem cells to the peripheral blood for collection with or without use of G-CSF and subsequent autologous transplantation in human patients with a) lymphoma or b) multiple myeloma.</w:t>
      </w:r>
    </w:p>
    <w:p>
      <w:pPr>
        <w:spacing w:after="0" w:line="160" w:lineRule="exact"/>
        <w:rPr>
          <w:sz w:val="20"/>
          <w:szCs w:val="20"/>
          <w:color w:val="auto"/>
        </w:rPr>
      </w:pPr>
    </w:p>
    <w:p>
      <w:pPr>
        <w:jc w:val="both"/>
        <w:ind w:left="540" w:hanging="635"/>
        <w:spacing w:after="0" w:line="249" w:lineRule="auto"/>
        <w:tabs>
          <w:tab w:leader="none" w:pos="520" w:val="left"/>
        </w:tabs>
        <w:rPr>
          <w:sz w:val="20"/>
          <w:szCs w:val="20"/>
          <w:color w:val="auto"/>
        </w:rPr>
      </w:pPr>
      <w:r>
        <w:rPr>
          <w:rFonts w:ascii="Arial" w:cs="Arial" w:eastAsia="Arial" w:hAnsi="Arial"/>
          <w:sz w:val="18"/>
          <w:szCs w:val="18"/>
          <w:color w:val="auto"/>
        </w:rPr>
        <w:t>1.56</w:t>
        <w:tab/>
        <w:t>"</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invoiced sales price of the Licensed Product billed by Licensee or its Affiliates or its or their sublicensees to Third Parties, less the following deductions, to the extent included in the gross invoiced sales price for the Licensed Product or otherwise directly paid or incurred by Licensee with respect to the sale of the Licensed Product: (i) normal and customary amounts actually repaid or credited by reason of defects, rejections, recalls or returns; (ii) tariffs, duties, excise, sales, value-added or other taxes (other than taxes based on income); (iii) outbound shipping, freight and insurance cost incurred to sell the Licensed Product;</w:t>
      </w:r>
    </w:p>
    <w:p>
      <w:pPr>
        <w:spacing w:after="0" w:line="4" w:lineRule="exact"/>
        <w:rPr>
          <w:sz w:val="20"/>
          <w:szCs w:val="20"/>
          <w:color w:val="auto"/>
        </w:rPr>
      </w:pPr>
    </w:p>
    <w:p>
      <w:pPr>
        <w:jc w:val="both"/>
        <w:ind w:left="640" w:firstLine="2"/>
        <w:spacing w:after="0" w:line="246" w:lineRule="auto"/>
        <w:tabs>
          <w:tab w:leader="none" w:pos="9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governmental and other rebates (or equivalents thereof) to national, state/provincial, local, and other governments, their agencies and purchases, and reimbursers, and normal and customary discounts and rebates allowed to trade customers and Third Party distributors; (v) commissions allowed or paid to Third Party distributors, brokers or agents other than sales personnel, sales representatives and sales agents employed or engaged by Licensee, its Affiliates or sublicensees; and (vi) amounts reserved or fully written off in accordance with generally accepted accounting principles for uncollectible accounts, (provided that amounts reserved for uncollectible accounts shall not exceed two percent (2%) of Net Sales and any amount subsequently recovered will be treated as Net Sales in the period during which it is paid, in each case ((i) to (vi)) in accordance with the International Financial Reporting Standards adopted by the International Accounting Standards Board or applicable generally accepted accounting principles, in each case consistently applied. For clarity, Net Sales shall include sales made prior to the grant of a Marketing Authorization, including under early access schemes to the extent such sales are above cost, but shall not include sales at or below cost for test marketing, Clinical Studies, investigator-initiated studies or disposition of samples in customary quantities.</w:t>
      </w:r>
    </w:p>
    <w:p>
      <w:pPr>
        <w:spacing w:after="0" w:line="1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Non-Binding Forecast</w:t>
      </w:r>
      <w:r>
        <w:rPr>
          <w:rFonts w:ascii="Arial" w:cs="Arial" w:eastAsia="Arial" w:hAnsi="Arial"/>
          <w:sz w:val="17"/>
          <w:szCs w:val="17"/>
          <w:color w:val="auto"/>
        </w:rPr>
        <w:t xml:space="preserve">” has the meaning given to such term at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right"/>
        <w:spacing w:after="0" w:line="256"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Norgine Group</w:t>
      </w:r>
      <w:r>
        <w:rPr>
          <w:rFonts w:ascii="Arial" w:cs="Arial" w:eastAsia="Arial" w:hAnsi="Arial"/>
          <w:sz w:val="18"/>
          <w:szCs w:val="18"/>
          <w:color w:val="auto"/>
        </w:rPr>
        <w:t>" means Spinnaker Topco Limited and any person directly or indirectly controlled by Spinnaker Topco Limited, where control means (a) the right to exercise the majority of voting rights and other governance rights in respect of that body corporate; or</w:t>
      </w:r>
    </w:p>
    <w:p>
      <w:pPr>
        <w:jc w:val="both"/>
        <w:ind w:left="640" w:firstLine="2"/>
        <w:spacing w:after="0" w:line="250" w:lineRule="auto"/>
        <w:tabs>
          <w:tab w:leader="none" w:pos="9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ownership of a majority of the issued shares and equity securities in that body corporate, but excludes the shareholders of Spinnaker Topco Limited, any subsidiary undertakings of such shareholders and any portfolio companies in which any shareholder of Spinnaker Topco Limited holds an investment or interest.</w:t>
      </w:r>
    </w:p>
    <w:p>
      <w:pPr>
        <w:spacing w:after="0" w:line="18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Norgine Group Company</w:t>
      </w:r>
      <w:r>
        <w:rPr>
          <w:rFonts w:ascii="Arial" w:cs="Arial" w:eastAsia="Arial" w:hAnsi="Arial"/>
          <w:sz w:val="17"/>
          <w:szCs w:val="17"/>
          <w:color w:val="auto"/>
        </w:rPr>
        <w:t>" means any person who is a member of the Norgine Group.</w:t>
      </w:r>
    </w:p>
    <w:p>
      <w:pPr>
        <w:spacing w:after="0" w:line="217" w:lineRule="exact"/>
        <w:rPr>
          <w:sz w:val="20"/>
          <w:szCs w:val="20"/>
          <w:color w:val="auto"/>
        </w:rPr>
      </w:pPr>
    </w:p>
    <w:p>
      <w:pPr>
        <w:jc w:val="both"/>
        <w:ind w:left="640" w:hanging="635"/>
        <w:spacing w:after="0" w:line="256" w:lineRule="auto"/>
        <w:tabs>
          <w:tab w:leader="none" w:pos="62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Norgine Know-How</w:t>
      </w:r>
      <w:r>
        <w:rPr>
          <w:rFonts w:ascii="Arial" w:cs="Arial" w:eastAsia="Arial" w:hAnsi="Arial"/>
          <w:sz w:val="18"/>
          <w:szCs w:val="18"/>
          <w:color w:val="auto"/>
        </w:rPr>
        <w:t>” means any Information Controlled by Licensee or its Affiliates as of the effective date of termination of this Agreement that is not generally known and is necessary or useful for the exploitation, commercialization, manufacture or development of a Licensed Product in the Field in the Territory, including all Licensee Improvements, but excluding any Information to the extent Covered or claimed by published Norgine Patents.</w:t>
      </w:r>
    </w:p>
    <w:p>
      <w:pPr>
        <w:spacing w:after="0" w:line="177" w:lineRule="exact"/>
        <w:rPr>
          <w:sz w:val="20"/>
          <w:szCs w:val="20"/>
          <w:color w:val="auto"/>
        </w:rPr>
      </w:pPr>
    </w:p>
    <w:p>
      <w:pPr>
        <w:jc w:val="both"/>
        <w:ind w:left="580" w:hanging="635"/>
        <w:spacing w:after="0" w:line="283" w:lineRule="auto"/>
        <w:tabs>
          <w:tab w:leader="none" w:pos="5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Norgine Patents</w:t>
      </w:r>
      <w:r>
        <w:rPr>
          <w:rFonts w:ascii="Arial" w:cs="Arial" w:eastAsia="Arial" w:hAnsi="Arial"/>
          <w:sz w:val="17"/>
          <w:szCs w:val="17"/>
          <w:color w:val="auto"/>
        </w:rPr>
        <w:t>” means any Patents Controlled by Licensee or its Affiliates as of the effective date of termination of this Agreement that are necessary or useful (or, with respect to patent applications, would be necessary or useful if such patent applications were to issue as patents) for the exploitation, commercialization, manufacture or development of a Licensed Product in the Field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380365</wp:posOffset>
            </wp:positionV>
            <wp:extent cx="7134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3" w:right="339" w:bottom="1440" w:gutter="0" w:footer="0" w:header="0"/>
        </w:sectPr>
      </w:pPr>
    </w:p>
    <w:bookmarkStart w:id="131" w:name="page132"/>
    <w:bookmarkEnd w:id="131"/>
    <w:p>
      <w:pPr>
        <w:jc w:val="both"/>
        <w:ind w:left="640" w:hanging="635"/>
        <w:spacing w:after="0" w:line="288"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4">
                      <a:extLst>
                        <a:ext uri="{28A0092B-C50C-407E-A947-70E740481C1C}"/>
                      </a:extLst>
                    </a:blip>
                    <a:srcRect/>
                    <a:stretch>
                      <a:fillRect/>
                    </a:stretch>
                  </pic:blipFill>
                  <pic:spPr bwMode="auto">
                    <a:xfrm>
                      <a:off x="0" y="0"/>
                      <a:ext cx="7134860" cy="8255"/>
                    </a:xfrm>
                    <a:prstGeom prst="rect">
                      <a:avLst/>
                    </a:prstGeom>
                    <a:noFill/>
                  </pic:spPr>
                </pic:pic>
              </a:graphicData>
            </a:graphic>
          </wp:anchor>
        </w:drawing>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Package</w:t>
      </w:r>
      <w:r>
        <w:rPr>
          <w:rFonts w:ascii="Arial" w:cs="Arial" w:eastAsia="Arial" w:hAnsi="Arial"/>
          <w:sz w:val="18"/>
          <w:szCs w:val="18"/>
          <w:color w:val="auto"/>
        </w:rPr>
        <w:t>" means to package and label the Licensed Product for its promotion, advertisement, importation, distribution, marketing, offering and sale in the Territory, and "</w:t>
      </w:r>
      <w:r>
        <w:rPr>
          <w:rFonts w:ascii="Arial" w:cs="Arial" w:eastAsia="Arial" w:hAnsi="Arial"/>
          <w:sz w:val="18"/>
          <w:szCs w:val="18"/>
          <w:b w:val="1"/>
          <w:bCs w:val="1"/>
          <w:color w:val="auto"/>
        </w:rPr>
        <w:t>Packaging</w:t>
      </w:r>
      <w:r>
        <w:rPr>
          <w:rFonts w:ascii="Arial" w:cs="Arial" w:eastAsia="Arial" w:hAnsi="Arial"/>
          <w:sz w:val="18"/>
          <w:szCs w:val="18"/>
          <w:color w:val="auto"/>
        </w:rPr>
        <w:t>" has a corresponding meaning.</w:t>
      </w:r>
    </w:p>
    <w:p>
      <w:pPr>
        <w:spacing w:after="0" w:line="13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 Challenge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40" w:hanging="635"/>
        <w:spacing w:after="0" w:line="256" w:lineRule="auto"/>
        <w:tabs>
          <w:tab w:leader="none" w:pos="62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 all national, regional and international patent applications, including provisional patent applications and PCT applications, continuations, continuations in part, divisionals, and registration confirmations; and (b) all national or regional patents, including utility patents, utility models, petty patents, certificates of invention and design patents including any and all reissues, re-examinations, renewals, revalidations, restorations or extensions (including any supplementary protection certificates and the like).</w:t>
      </w:r>
    </w:p>
    <w:p>
      <w:pPr>
        <w:spacing w:after="0" w:line="177" w:lineRule="exact"/>
        <w:rPr>
          <w:sz w:val="20"/>
          <w:szCs w:val="20"/>
          <w:color w:val="auto"/>
        </w:rPr>
      </w:pPr>
    </w:p>
    <w:p>
      <w:pPr>
        <w:jc w:val="both"/>
        <w:ind w:left="540" w:hanging="635"/>
        <w:spacing w:after="0" w:line="276" w:lineRule="auto"/>
        <w:tabs>
          <w:tab w:leader="none" w:pos="520" w:val="left"/>
        </w:tabs>
        <w:rPr>
          <w:sz w:val="20"/>
          <w:szCs w:val="20"/>
          <w:color w:val="auto"/>
        </w:rPr>
      </w:pPr>
      <w:r>
        <w:rPr>
          <w:rFonts w:ascii="Arial" w:cs="Arial" w:eastAsia="Arial" w:hAnsi="Arial"/>
          <w:sz w:val="18"/>
          <w:szCs w:val="18"/>
          <w:color w:val="auto"/>
        </w:rPr>
        <w:t>1.65</w:t>
        <w:tab/>
        <w:t>"</w:t>
      </w:r>
      <w:r>
        <w:rPr>
          <w:rFonts w:ascii="Arial" w:cs="Arial" w:eastAsia="Arial" w:hAnsi="Arial"/>
          <w:sz w:val="18"/>
          <w:szCs w:val="18"/>
          <w:b w:val="1"/>
          <w:bCs w:val="1"/>
          <w:color w:val="auto"/>
        </w:rPr>
        <w:t>Performance Plan</w:t>
      </w:r>
      <w:r>
        <w:rPr>
          <w:rFonts w:ascii="Arial" w:cs="Arial" w:eastAsia="Arial" w:hAnsi="Arial"/>
          <w:sz w:val="18"/>
          <w:szCs w:val="18"/>
          <w:color w:val="auto"/>
        </w:rPr>
        <w:t xml:space="preserve">" means the performance plan prepared by Licensee and updated by Licensee from time to time, all as contemplated by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of this Agreement.</w:t>
      </w:r>
    </w:p>
    <w:p>
      <w:pPr>
        <w:spacing w:after="0" w:line="160" w:lineRule="exact"/>
        <w:rPr>
          <w:sz w:val="20"/>
          <w:szCs w:val="20"/>
          <w:color w:val="auto"/>
        </w:rPr>
      </w:pPr>
    </w:p>
    <w:p>
      <w:pPr>
        <w:jc w:val="both"/>
        <w:ind w:left="580" w:hanging="635"/>
        <w:spacing w:after="0" w:line="276" w:lineRule="auto"/>
        <w:tabs>
          <w:tab w:leader="none" w:pos="560" w:val="left"/>
        </w:tabs>
        <w:rPr>
          <w:sz w:val="20"/>
          <w:szCs w:val="20"/>
          <w:color w:val="auto"/>
        </w:rPr>
      </w:pPr>
      <w:r>
        <w:rPr>
          <w:rFonts w:ascii="Arial" w:cs="Arial" w:eastAsia="Arial" w:hAnsi="Arial"/>
          <w:sz w:val="18"/>
          <w:szCs w:val="18"/>
          <w:color w:val="auto"/>
        </w:rPr>
        <w:t>1.66</w:t>
        <w:tab/>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the Head License and the Hercules Loan, as may be amended, restated, amended and restated, supplemented or otherwise modified from time to time.</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Pharmacovigilance Agreement</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5.11.2</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Pharmacovigilance Transfer Agreement</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5.11.1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00" w:hanging="635"/>
        <w:spacing w:after="0" w:line="276" w:lineRule="auto"/>
        <w:tabs>
          <w:tab w:leader="none" w:pos="580" w:val="left"/>
        </w:tabs>
        <w:rPr>
          <w:sz w:val="20"/>
          <w:szCs w:val="20"/>
          <w:color w:val="auto"/>
        </w:rPr>
      </w:pPr>
      <w:r>
        <w:rPr>
          <w:rFonts w:ascii="Arial" w:cs="Arial" w:eastAsia="Arial" w:hAnsi="Arial"/>
          <w:sz w:val="18"/>
          <w:szCs w:val="18"/>
          <w:color w:val="auto"/>
        </w:rPr>
        <w:t>1.69</w:t>
        <w:tab/>
        <w:t>“</w:t>
      </w:r>
      <w:r>
        <w:rPr>
          <w:rFonts w:ascii="Arial" w:cs="Arial" w:eastAsia="Arial" w:hAnsi="Arial"/>
          <w:sz w:val="18"/>
          <w:szCs w:val="18"/>
          <w:b w:val="1"/>
          <w:bCs w:val="1"/>
          <w:color w:val="auto"/>
        </w:rPr>
        <w:t>Phase III Clinical Study</w:t>
      </w:r>
      <w:r>
        <w:rPr>
          <w:rFonts w:ascii="Arial" w:cs="Arial" w:eastAsia="Arial" w:hAnsi="Arial"/>
          <w:sz w:val="18"/>
          <w:szCs w:val="18"/>
          <w:color w:val="auto"/>
        </w:rPr>
        <w:t>” means a Clinical Study of a Licensed Product generally consistent with 21 C.F.R. § 312.21(c) (or the non-United States equivalent thereof).</w:t>
      </w:r>
    </w:p>
    <w:p>
      <w:pPr>
        <w:spacing w:after="0" w:line="160" w:lineRule="exact"/>
        <w:rPr>
          <w:sz w:val="20"/>
          <w:szCs w:val="20"/>
          <w:color w:val="auto"/>
        </w:rPr>
      </w:pPr>
    </w:p>
    <w:p>
      <w:pPr>
        <w:jc w:val="both"/>
        <w:ind w:left="640" w:hanging="635"/>
        <w:spacing w:after="0" w:line="283" w:lineRule="auto"/>
        <w:tabs>
          <w:tab w:leader="none" w:pos="62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Pricing Approval</w:t>
      </w:r>
      <w:r>
        <w:rPr>
          <w:rFonts w:ascii="Arial" w:cs="Arial" w:eastAsia="Arial" w:hAnsi="Arial"/>
          <w:sz w:val="17"/>
          <w:szCs w:val="17"/>
          <w:color w:val="auto"/>
        </w:rPr>
        <w:t>” shall mean, with respect to a jurisdiction within the Territory which competent Relevant Regulatory Authority determines the pricing at which the Licensed Product should be sold, the approval, agreement, determination or decision by the applicable Relevant Regulatory Authorities establishing the pricing status for the Licensed Product in any jurisdiction within the Territory.</w:t>
      </w:r>
    </w:p>
    <w:p>
      <w:pPr>
        <w:spacing w:after="0" w:line="157" w:lineRule="exact"/>
        <w:rPr>
          <w:sz w:val="20"/>
          <w:szCs w:val="20"/>
          <w:color w:val="auto"/>
        </w:rPr>
      </w:pPr>
    </w:p>
    <w:p>
      <w:pPr>
        <w:jc w:val="both"/>
        <w:ind w:left="580" w:hanging="635"/>
        <w:spacing w:after="0" w:line="267" w:lineRule="auto"/>
        <w:tabs>
          <w:tab w:leader="none" w:pos="5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Product Agreement</w:t>
      </w:r>
      <w:r>
        <w:rPr>
          <w:rFonts w:ascii="Arial" w:cs="Arial" w:eastAsia="Arial" w:hAnsi="Arial"/>
          <w:sz w:val="17"/>
          <w:szCs w:val="17"/>
          <w:color w:val="auto"/>
        </w:rPr>
        <w:t>” means, with respect to a Licensed Product, any agreement entered into by and between Licensee or any of its sublicensees or its or their respective Affiliates, on the one hand, and one or more Third Parties, on the other hand, that relates to the exploitation, commercialization, manufacture or development of such Licensed Product in the Field in the Territory, including (a) any agreement pursuant to which Licensee, its sublicensees or its or their respective Affiliates receives any license or other rights to exploit, commercialize, manufacture or develop such Licensed Product; (b) supply agreements pursuant to which Licensee, its sublicensees or its or their respective Affiliates obtain or will obtain quantities of such Licensed Product; (c) clinical trial agreements with respect to the conduct of clinical trials for such Licensed Product; (d) contract research organization agreements with respect to the conduct of services for such Licensed Product; and (e) service agreements with respect to the conduct of services for such Licensed Product.</w:t>
      </w:r>
    </w:p>
    <w:p>
      <w:pPr>
        <w:spacing w:after="0" w:line="16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Publishing Party</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Quality Agreement</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40" w:right="20" w:hanging="635"/>
        <w:spacing w:after="0" w:line="307" w:lineRule="auto"/>
        <w:tabs>
          <w:tab w:leader="none" w:pos="5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Recall</w:t>
      </w:r>
      <w:r>
        <w:rPr>
          <w:rFonts w:ascii="Arial" w:cs="Arial" w:eastAsia="Arial" w:hAnsi="Arial"/>
          <w:sz w:val="17"/>
          <w:szCs w:val="17"/>
          <w:color w:val="auto"/>
        </w:rPr>
        <w:t>" means with respect to the Licensed Product, a "recall", "correction" or "market" withdrawal, as those terms (or their equivalents) are defined by Applicable Law, or other regulatory action required under Applicable Laws, as the same may be amended from time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367665</wp:posOffset>
            </wp:positionV>
            <wp:extent cx="7134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3" w:right="339" w:bottom="1440" w:gutter="0" w:footer="0" w:header="0"/>
        </w:sectPr>
      </w:pPr>
    </w:p>
    <w:bookmarkStart w:id="132" w:name="page133"/>
    <w:bookmarkEnd w:id="132"/>
    <w:p>
      <w:pPr>
        <w:ind w:left="640"/>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6">
                      <a:extLst>
                        <a:ext uri="{28A0092B-C50C-407E-A947-70E740481C1C}"/>
                      </a:extLst>
                    </a:blip>
                    <a:srcRect/>
                    <a:stretch>
                      <a:fillRect/>
                    </a:stretch>
                  </pic:blipFill>
                  <pic:spPr bwMode="auto">
                    <a:xfrm>
                      <a:off x="0" y="0"/>
                      <a:ext cx="7134860" cy="8255"/>
                    </a:xfrm>
                    <a:prstGeom prst="rect">
                      <a:avLst/>
                    </a:prstGeom>
                    <a:noFill/>
                  </pic:spPr>
                </pic:pic>
              </a:graphicData>
            </a:graphic>
          </wp:anchor>
        </w:drawing>
        <w:t>time, and shall include any post-sale warning or mailing of information regarding such Licensed Product, including those warnings or mailings described by Applicable Law.</w:t>
      </w:r>
    </w:p>
    <w:p>
      <w:pPr>
        <w:spacing w:after="0" w:line="161" w:lineRule="exact"/>
        <w:rPr>
          <w:sz w:val="20"/>
          <w:szCs w:val="20"/>
          <w:color w:val="auto"/>
        </w:rPr>
      </w:pPr>
    </w:p>
    <w:p>
      <w:pPr>
        <w:jc w:val="both"/>
        <w:ind w:left="580" w:hanging="635"/>
        <w:spacing w:after="0" w:line="261" w:lineRule="auto"/>
        <w:tabs>
          <w:tab w:leader="none" w:pos="560" w:val="left"/>
        </w:tabs>
        <w:rPr>
          <w:sz w:val="20"/>
          <w:szCs w:val="20"/>
          <w:color w:val="auto"/>
        </w:rPr>
      </w:pPr>
      <w:r>
        <w:rPr>
          <w:rFonts w:ascii="Arial" w:cs="Arial" w:eastAsia="Arial" w:hAnsi="Arial"/>
          <w:sz w:val="18"/>
          <w:szCs w:val="18"/>
          <w:color w:val="auto"/>
        </w:rPr>
        <w:t>1.75</w:t>
        <w:tab/>
        <w:t>“</w:t>
      </w:r>
      <w:r>
        <w:rPr>
          <w:rFonts w:ascii="Arial" w:cs="Arial" w:eastAsia="Arial" w:hAnsi="Arial"/>
          <w:sz w:val="18"/>
          <w:szCs w:val="18"/>
          <w:b w:val="1"/>
          <w:bCs w:val="1"/>
          <w:color w:val="auto"/>
        </w:rPr>
        <w:t>Regulatory Activity(ies)</w:t>
      </w:r>
      <w:r>
        <w:rPr>
          <w:rFonts w:ascii="Arial" w:cs="Arial" w:eastAsia="Arial" w:hAnsi="Arial"/>
          <w:sz w:val="18"/>
          <w:szCs w:val="18"/>
          <w:color w:val="auto"/>
        </w:rPr>
        <w:t>” means (i) registrations and initial submissions; (ii) filings and maintenance of regulatory approval and other communications with regulatory authorities (including, as applicable, in connection with Pricing Approvals and Reimbursement Approvals); (iii) inspections by regulatory authorities; and (iv) adverse event reporting.</w:t>
      </w:r>
    </w:p>
    <w:p>
      <w:pPr>
        <w:spacing w:after="0" w:line="173" w:lineRule="exact"/>
        <w:rPr>
          <w:sz w:val="20"/>
          <w:szCs w:val="20"/>
          <w:color w:val="auto"/>
        </w:rPr>
      </w:pPr>
    </w:p>
    <w:p>
      <w:pPr>
        <w:jc w:val="both"/>
        <w:ind w:left="600" w:hanging="635"/>
        <w:spacing w:after="0" w:line="253" w:lineRule="auto"/>
        <w:tabs>
          <w:tab w:leader="none" w:pos="580" w:val="left"/>
        </w:tabs>
        <w:rPr>
          <w:sz w:val="20"/>
          <w:szCs w:val="20"/>
          <w:color w:val="auto"/>
        </w:rPr>
      </w:pPr>
      <w:r>
        <w:rPr>
          <w:rFonts w:ascii="Arial" w:cs="Arial" w:eastAsia="Arial" w:hAnsi="Arial"/>
          <w:sz w:val="18"/>
          <w:szCs w:val="18"/>
          <w:color w:val="auto"/>
        </w:rPr>
        <w:t>1.76</w:t>
        <w:tab/>
        <w:t>“</w:t>
      </w:r>
      <w:r>
        <w:rPr>
          <w:rFonts w:ascii="Arial" w:cs="Arial" w:eastAsia="Arial" w:hAnsi="Arial"/>
          <w:sz w:val="18"/>
          <w:szCs w:val="18"/>
          <w:b w:val="1"/>
          <w:bCs w:val="1"/>
          <w:color w:val="auto"/>
        </w:rPr>
        <w:t>Regulatory Documentation</w:t>
      </w:r>
      <w:r>
        <w:rPr>
          <w:rFonts w:ascii="Arial" w:cs="Arial" w:eastAsia="Arial" w:hAnsi="Arial"/>
          <w:sz w:val="18"/>
          <w:szCs w:val="18"/>
          <w:color w:val="auto"/>
        </w:rPr>
        <w:t>” means all (a) applications, registrations, licenses, authorizations and approvals (including all Marketing Authorizations); (b) correspondence and reports submitted to or received from Relevant Regulatory Authorities (including minutes and official contact reports relating to any communications with any Relevant Regulatory Authority) and all supporting documents with respect thereto, including all regulatory drug lists, advertising and promotion documents, adverse event files and complaint files; and (c) clinical data and any other data contained in any of the foregoing, in each case ((a), (b) and (c)), relating to the Licensed Product.</w:t>
      </w:r>
    </w:p>
    <w:p>
      <w:pPr>
        <w:spacing w:after="0" w:line="181" w:lineRule="exact"/>
        <w:rPr>
          <w:sz w:val="20"/>
          <w:szCs w:val="20"/>
          <w:color w:val="auto"/>
        </w:rPr>
      </w:pPr>
    </w:p>
    <w:p>
      <w:pPr>
        <w:jc w:val="both"/>
        <w:ind w:left="580" w:hanging="635"/>
        <w:spacing w:after="0" w:line="261" w:lineRule="auto"/>
        <w:tabs>
          <w:tab w:leader="none" w:pos="560" w:val="left"/>
        </w:tabs>
        <w:rPr>
          <w:sz w:val="20"/>
          <w:szCs w:val="20"/>
          <w:color w:val="auto"/>
        </w:rPr>
      </w:pPr>
      <w:r>
        <w:rPr>
          <w:rFonts w:ascii="Arial" w:cs="Arial" w:eastAsia="Arial" w:hAnsi="Arial"/>
          <w:sz w:val="18"/>
          <w:szCs w:val="18"/>
          <w:color w:val="auto"/>
        </w:rPr>
        <w:t>1.77</w:t>
        <w:tab/>
        <w:t>"</w:t>
      </w:r>
      <w:r>
        <w:rPr>
          <w:rFonts w:ascii="Arial" w:cs="Arial" w:eastAsia="Arial" w:hAnsi="Arial"/>
          <w:sz w:val="18"/>
          <w:szCs w:val="18"/>
          <w:b w:val="1"/>
          <w:bCs w:val="1"/>
          <w:color w:val="auto"/>
        </w:rPr>
        <w:t>Reimbursement Approval</w:t>
      </w:r>
      <w:r>
        <w:rPr>
          <w:rFonts w:ascii="Arial" w:cs="Arial" w:eastAsia="Arial" w:hAnsi="Arial"/>
          <w:sz w:val="18"/>
          <w:szCs w:val="18"/>
          <w:color w:val="auto"/>
        </w:rPr>
        <w:t>" shall mean, with respect to a country of the Territory in which a competent Relevant Regulatory Authority determines the pricing at which the Licensed Product will be reimbursed, the approval, agreement, determination or decision by the applicable governmental authorities establishing the reimbursement status for the Licensed Product.</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Rejection Notice</w:t>
      </w:r>
      <w:r>
        <w:rPr>
          <w:rFonts w:ascii="Arial" w:cs="Arial" w:eastAsia="Arial" w:hAnsi="Arial"/>
          <w:sz w:val="17"/>
          <w:szCs w:val="17"/>
          <w:color w:val="auto"/>
        </w:rPr>
        <w:t xml:space="preserve">” has the meaning given to such term at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80" w:hanging="635"/>
        <w:spacing w:after="0" w:line="256" w:lineRule="auto"/>
        <w:tabs>
          <w:tab w:leader="none" w:pos="560" w:val="left"/>
        </w:tabs>
        <w:rPr>
          <w:sz w:val="20"/>
          <w:szCs w:val="20"/>
          <w:color w:val="auto"/>
        </w:rPr>
      </w:pPr>
      <w:r>
        <w:rPr>
          <w:rFonts w:ascii="Arial" w:cs="Arial" w:eastAsia="Arial" w:hAnsi="Arial"/>
          <w:sz w:val="18"/>
          <w:szCs w:val="18"/>
          <w:color w:val="auto"/>
        </w:rPr>
        <w:t>1.79</w:t>
        <w:tab/>
        <w:t>"</w:t>
      </w:r>
      <w:r>
        <w:rPr>
          <w:rFonts w:ascii="Arial" w:cs="Arial" w:eastAsia="Arial" w:hAnsi="Arial"/>
          <w:sz w:val="18"/>
          <w:szCs w:val="18"/>
          <w:b w:val="1"/>
          <w:bCs w:val="1"/>
          <w:color w:val="auto"/>
        </w:rPr>
        <w:t>Relevant Regulatory Authority</w:t>
      </w:r>
      <w:r>
        <w:rPr>
          <w:rFonts w:ascii="Arial" w:cs="Arial" w:eastAsia="Arial" w:hAnsi="Arial"/>
          <w:sz w:val="18"/>
          <w:szCs w:val="18"/>
          <w:color w:val="auto"/>
        </w:rPr>
        <w:t>" means, collectively, the European Commission, EMA, MHRA and any other and any other national, supranational, regional, provincial or local governmental or regulatory authority, agency, department, bureau, commission, council or other government entity having jurisdiction over the manufacture, importation, promotion, marketing, distribution or sale of the Licensed Products in the Territory.</w:t>
      </w:r>
    </w:p>
    <w:p>
      <w:pPr>
        <w:spacing w:after="0" w:line="17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Rolling Forecast</w:t>
      </w:r>
      <w:r>
        <w:rPr>
          <w:rFonts w:ascii="Arial" w:cs="Arial" w:eastAsia="Arial" w:hAnsi="Arial"/>
          <w:sz w:val="17"/>
          <w:szCs w:val="17"/>
          <w:color w:val="auto"/>
        </w:rPr>
        <w:t xml:space="preserve">” has the meaning given to such term at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Senior Executives</w:t>
      </w:r>
      <w:r>
        <w:rPr>
          <w:rFonts w:ascii="Arial" w:cs="Arial" w:eastAsia="Arial" w:hAnsi="Arial"/>
          <w:sz w:val="17"/>
          <w:szCs w:val="17"/>
          <w:color w:val="auto"/>
        </w:rPr>
        <w:t xml:space="preserve">” has the meaning given to such term at </w:t>
      </w:r>
      <w:r>
        <w:rPr>
          <w:rFonts w:ascii="Arial" w:cs="Arial" w:eastAsia="Arial" w:hAnsi="Arial"/>
          <w:sz w:val="17"/>
          <w:szCs w:val="17"/>
          <w:u w:val="single" w:color="auto"/>
          <w:color w:val="auto"/>
        </w:rPr>
        <w:t>Section 15.1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640" w:hanging="635"/>
        <w:spacing w:after="0" w:line="276"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specifications for the Licensed Product as set forth in the relevant file(s) of the Licensed Product as approved by the competent Relevant Regulatory Authorities in the Territory.</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Subcommittee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11.5</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Subsequent Term”</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60" w:hanging="635"/>
        <w:spacing w:after="0" w:line="275" w:lineRule="auto"/>
        <w:tabs>
          <w:tab w:leader="none" w:pos="5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collectively, the European Economic Area as constituted as at the Effective Date (namely, Austria, Belgium, Bulgaria, Croatia, Republic of Cyprus, Czechia, Denmark, Estonia, Finland, France, Germany, Greece, Hungary, Iceland, Ireland, Italy, Latvia, Liechtenstein, Lithuania, Luxembourg, Malta, Netherlands, Norway, Poland, Portugal, Romania, Slovakia, Slovenia, Spain and Sweden), Switzerland, the United Kingdom, Australia and New Zealand, together with any special territories of such countries.</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Term”</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Party</w:t>
      </w:r>
      <w:r>
        <w:rPr>
          <w:rFonts w:ascii="Arial" w:cs="Arial" w:eastAsia="Arial" w:hAnsi="Arial"/>
          <w:sz w:val="17"/>
          <w:szCs w:val="17"/>
          <w:color w:val="auto"/>
        </w:rPr>
        <w:t>” means any person other than the Parties and their Affiliates.</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Third Party Claim</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18.3.1</w:t>
      </w:r>
      <w:r>
        <w:rPr>
          <w:rFonts w:ascii="Arial" w:cs="Arial" w:eastAsia="Arial" w:hAnsi="Arial"/>
          <w:sz w:val="17"/>
          <w:szCs w:val="17"/>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419100</wp:posOffset>
            </wp:positionV>
            <wp:extent cx="7134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5" w:right="339" w:bottom="1440" w:gutter="0" w:footer="0" w:header="0"/>
        </w:sectPr>
      </w:pPr>
    </w:p>
    <w:bookmarkStart w:id="133" w:name="page134"/>
    <w:bookmarkEnd w:id="133"/>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8">
                      <a:extLst>
                        <a:ext uri="{28A0092B-C50C-407E-A947-70E740481C1C}"/>
                      </a:extLst>
                    </a:blip>
                    <a:srcRect/>
                    <a:stretch>
                      <a:fillRect/>
                    </a:stretch>
                  </pic:blipFill>
                  <pic:spPr bwMode="auto">
                    <a:xfrm>
                      <a:off x="0" y="0"/>
                      <a:ext cx="7134860" cy="8255"/>
                    </a:xfrm>
                    <a:prstGeom prst="rect">
                      <a:avLst/>
                    </a:prstGeom>
                    <a:noFill/>
                  </pic:spPr>
                </pic:pic>
              </a:graphicData>
            </a:graphic>
          </wp:anchor>
        </w:drawing>
        <w:t>1.89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Transfer Costs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13.3.4</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Transfer Price</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Wind-down Period</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13.3.1.1(f)</w:t>
      </w:r>
      <w:r>
        <w:rPr>
          <w:rFonts w:ascii="Arial" w:cs="Arial" w:eastAsia="Arial" w:hAnsi="Arial"/>
          <w:sz w:val="17"/>
          <w:szCs w:val="17"/>
          <w:color w:val="auto"/>
        </w:rPr>
        <w:t xml:space="preserve"> of this Agreement</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Withholding Tax</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of this Agreement.</w:t>
      </w:r>
    </w:p>
    <w:p>
      <w:pPr>
        <w:spacing w:after="0" w:line="217" w:lineRule="exact"/>
        <w:rPr>
          <w:sz w:val="20"/>
          <w:szCs w:val="20"/>
          <w:color w:val="auto"/>
        </w:rPr>
      </w:pPr>
    </w:p>
    <w:p>
      <w:pPr>
        <w:jc w:val="both"/>
        <w:ind w:left="540" w:hanging="635"/>
        <w:spacing w:after="0" w:line="276" w:lineRule="auto"/>
        <w:tabs>
          <w:tab w:leader="none" w:pos="520" w:val="left"/>
        </w:tabs>
        <w:rPr>
          <w:sz w:val="20"/>
          <w:szCs w:val="20"/>
          <w:color w:val="auto"/>
        </w:rPr>
      </w:pPr>
      <w:r>
        <w:rPr>
          <w:rFonts w:ascii="Arial" w:cs="Arial" w:eastAsia="Arial" w:hAnsi="Arial"/>
          <w:sz w:val="18"/>
          <w:szCs w:val="18"/>
          <w:color w:val="auto"/>
        </w:rPr>
        <w:t>1.93</w:t>
        <w:tab/>
        <w:t>"</w:t>
      </w:r>
      <w:r>
        <w:rPr>
          <w:rFonts w:ascii="Arial" w:cs="Arial" w:eastAsia="Arial" w:hAnsi="Arial"/>
          <w:sz w:val="18"/>
          <w:szCs w:val="18"/>
          <w:b w:val="1"/>
          <w:bCs w:val="1"/>
          <w:color w:val="auto"/>
        </w:rPr>
        <w:t>Working Days</w:t>
      </w:r>
      <w:r>
        <w:rPr>
          <w:rFonts w:ascii="Arial" w:cs="Arial" w:eastAsia="Arial" w:hAnsi="Arial"/>
          <w:sz w:val="18"/>
          <w:szCs w:val="18"/>
          <w:color w:val="auto"/>
        </w:rPr>
        <w:t>" means any day that is not a Saturday, Sunday or other day on which commercial banks are authorized or required to be closed, as the case may be, in Boston, USA, Amsterdam, Netherlands or London, England.</w:t>
      </w:r>
    </w:p>
    <w:p>
      <w:pPr>
        <w:spacing w:after="0" w:line="16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X4 Indemnified Parties</w:t>
      </w:r>
      <w:r>
        <w:rPr>
          <w:rFonts w:ascii="Arial" w:cs="Arial" w:eastAsia="Arial" w:hAnsi="Arial"/>
          <w:sz w:val="17"/>
          <w:szCs w:val="17"/>
          <w:color w:val="auto"/>
        </w:rPr>
        <w:t xml:space="preserve">” has the meaning given to such term in </w:t>
      </w:r>
      <w:r>
        <w:rPr>
          <w:rFonts w:ascii="Arial" w:cs="Arial" w:eastAsia="Arial" w:hAnsi="Arial"/>
          <w:sz w:val="17"/>
          <w:szCs w:val="17"/>
          <w:u w:val="single" w:color="auto"/>
          <w:color w:val="auto"/>
        </w:rPr>
        <w:t>Section 18.2</w:t>
      </w:r>
      <w:r>
        <w:rPr>
          <w:rFonts w:ascii="Arial" w:cs="Arial" w:eastAsia="Arial" w:hAnsi="Arial"/>
          <w:sz w:val="17"/>
          <w:szCs w:val="17"/>
          <w:color w:val="auto"/>
        </w:rPr>
        <w:t xml:space="preserve"> of this Agreement</w:t>
      </w:r>
      <w:r>
        <w:rPr>
          <w:rFonts w:ascii="Arial" w:cs="Arial" w:eastAsia="Arial" w:hAnsi="Arial"/>
          <w:sz w:val="17"/>
          <w:szCs w:val="17"/>
          <w:u w:val="single" w:color="auto"/>
          <w:color w:val="auto"/>
        </w:rPr>
        <w:t>.</w:t>
      </w:r>
    </w:p>
    <w:p>
      <w:pPr>
        <w:spacing w:after="0" w:line="217" w:lineRule="exact"/>
        <w:rPr>
          <w:sz w:val="20"/>
          <w:szCs w:val="20"/>
          <w:color w:val="auto"/>
        </w:rPr>
      </w:pPr>
    </w:p>
    <w:p>
      <w:pPr>
        <w:jc w:val="both"/>
        <w:ind w:left="640" w:hanging="635"/>
        <w:spacing w:after="0" w:line="261" w:lineRule="auto"/>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X4 Trademark</w:t>
      </w:r>
      <w:r>
        <w:rPr>
          <w:rFonts w:ascii="Arial" w:cs="Arial" w:eastAsia="Arial" w:hAnsi="Arial"/>
          <w:sz w:val="18"/>
          <w:szCs w:val="18"/>
          <w:color w:val="auto"/>
        </w:rPr>
        <w:t xml:space="preserve">" means (i) the registered trademarks XOLREMDI® (as further set out in </w:t>
      </w:r>
      <w:r>
        <w:rPr>
          <w:rFonts w:ascii="Arial" w:cs="Arial" w:eastAsia="Arial" w:hAnsi="Arial"/>
          <w:sz w:val="18"/>
          <w:szCs w:val="18"/>
          <w:b w:val="1"/>
          <w:bCs w:val="1"/>
          <w:color w:val="auto"/>
        </w:rPr>
        <w:t>Appendix C</w:t>
      </w:r>
      <w:r>
        <w:rPr>
          <w:rFonts w:ascii="Arial" w:cs="Arial" w:eastAsia="Arial" w:hAnsi="Arial"/>
          <w:sz w:val="18"/>
          <w:szCs w:val="18"/>
          <w:color w:val="auto"/>
        </w:rPr>
        <w:t xml:space="preserve">) and related logos set out in </w:t>
      </w:r>
      <w:r>
        <w:rPr>
          <w:rFonts w:ascii="Arial" w:cs="Arial" w:eastAsia="Arial" w:hAnsi="Arial"/>
          <w:sz w:val="18"/>
          <w:szCs w:val="18"/>
          <w:b w:val="1"/>
          <w:bCs w:val="1"/>
          <w:color w:val="auto"/>
        </w:rPr>
        <w:t>Appendix C</w:t>
      </w:r>
      <w:r>
        <w:rPr>
          <w:rFonts w:ascii="Arial" w:cs="Arial" w:eastAsia="Arial" w:hAnsi="Arial"/>
          <w:sz w:val="18"/>
          <w:szCs w:val="18"/>
          <w:color w:val="auto"/>
        </w:rPr>
        <w:t>, and any unregistered trademark rights in XOLREMDI™; and (ii) any domain names corresponding to or containing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set out in (i).</w:t>
      </w:r>
    </w:p>
    <w:p>
      <w:pPr>
        <w:spacing w:after="0" w:line="173" w:lineRule="exact"/>
        <w:rPr>
          <w:sz w:val="20"/>
          <w:szCs w:val="20"/>
          <w:color w:val="auto"/>
        </w:rPr>
      </w:pPr>
    </w:p>
    <w:p>
      <w:pPr>
        <w:ind w:left="340" w:hanging="334"/>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LICENSE; OBLIGATIONS</w:t>
      </w:r>
    </w:p>
    <w:p>
      <w:pPr>
        <w:spacing w:after="0" w:line="219" w:lineRule="exact"/>
        <w:rPr>
          <w:sz w:val="20"/>
          <w:szCs w:val="20"/>
          <w:color w:val="auto"/>
        </w:rPr>
      </w:pPr>
    </w:p>
    <w:p>
      <w:pPr>
        <w:jc w:val="both"/>
        <w:ind w:left="520" w:hanging="635"/>
        <w:spacing w:after="0" w:line="251" w:lineRule="auto"/>
        <w:tabs>
          <w:tab w:leader="none" w:pos="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License</w:t>
      </w:r>
      <w:r>
        <w:rPr>
          <w:rFonts w:ascii="Arial" w:cs="Arial" w:eastAsia="Arial" w:hAnsi="Arial"/>
          <w:sz w:val="18"/>
          <w:szCs w:val="18"/>
          <w:color w:val="auto"/>
        </w:rPr>
        <w:t>. X4, for itself and its Affiliates, hereby grants to Licensee in accordance with the terms and conditions of this Agreement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exclusive (even as to and against X4 and its Affiliates) license under the Licensed IP, to import, export, promote, distribute, conduct Medical Affairs Activities (in accordance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conduct Regulatory Activities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have manufactured, market, advertise, offer for sale, have sold and sell the Licensed Products in the Territory and within the Field. X4, for itself and its Affiliates, hereby grants to Licensee in accordance with the terms and conditions of this Agreement a co-exclusive license under the Licensed IP to manufacture the Licensed Products for the Territory and within the Field.</w:t>
      </w:r>
    </w:p>
    <w:p>
      <w:pPr>
        <w:spacing w:after="0" w:line="185" w:lineRule="exact"/>
        <w:rPr>
          <w:sz w:val="20"/>
          <w:szCs w:val="20"/>
          <w:color w:val="auto"/>
        </w:rPr>
      </w:pPr>
    </w:p>
    <w:p>
      <w:pPr>
        <w:jc w:val="both"/>
        <w:ind w:left="540" w:hanging="635"/>
        <w:spacing w:after="0" w:line="249" w:lineRule="auto"/>
        <w:tabs>
          <w:tab w:leader="none" w:pos="520" w:val="left"/>
        </w:tabs>
        <w:rPr>
          <w:sz w:val="20"/>
          <w:szCs w:val="20"/>
          <w:color w:val="auto"/>
        </w:rPr>
      </w:pPr>
      <w:r>
        <w:rPr>
          <w:rFonts w:ascii="Arial" w:cs="Arial" w:eastAsia="Arial" w:hAnsi="Arial"/>
          <w:sz w:val="18"/>
          <w:szCs w:val="18"/>
          <w:color w:val="auto"/>
        </w:rPr>
        <w:t>2.2</w:t>
        <w:tab/>
        <w:t xml:space="preserve">To the extent permitted by Applicable Law, each Party hereby grants the other Party a right of reference and use and access to all Information (including CMC related information) Controlled by the granting Party and its Affiliates solely for the purpose of and to the extent necessary or useful to support Regulatory Documentation (including any application for a Marketing Authorization) in the other Party’s field and territory. The granting Party shall take actions reasonably necessary- to affect such grant of right of reference and use to the other Party, including by making such filings as may be required by the Relevant Regulatory Authority or other regulatory authorities in other territories that may be necessary to record such grant. Without prejudice to the foregoing, to the extent required by Applicable Law in order for Licensee to exercise its rights or carry out its obligations under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X4 shall assist Licensee in obtaining any Letter of Authorization (or similar authorization in the Territory) with respect to the Drug Master File (DMF) for any Licensed Product.</w:t>
      </w:r>
    </w:p>
    <w:p>
      <w:pPr>
        <w:spacing w:after="0" w:line="187" w:lineRule="exact"/>
        <w:rPr>
          <w:sz w:val="20"/>
          <w:szCs w:val="20"/>
          <w:color w:val="auto"/>
        </w:rPr>
      </w:pPr>
    </w:p>
    <w:p>
      <w:pPr>
        <w:jc w:val="both"/>
        <w:ind w:left="520" w:hanging="635"/>
        <w:spacing w:after="0" w:line="260" w:lineRule="auto"/>
        <w:tabs>
          <w:tab w:leader="none" w:pos="500" w:val="left"/>
        </w:tabs>
        <w:rPr>
          <w:sz w:val="20"/>
          <w:szCs w:val="20"/>
          <w:color w:val="auto"/>
        </w:rPr>
      </w:pPr>
      <w:r>
        <w:rPr>
          <w:rFonts w:ascii="Arial" w:cs="Arial" w:eastAsia="Arial" w:hAnsi="Arial"/>
          <w:sz w:val="18"/>
          <w:szCs w:val="18"/>
          <w:color w:val="auto"/>
        </w:rPr>
        <w:t>2.3</w:t>
        <w:tab/>
        <w:t>Licensee shall, and any of its Affiliates who are its sublicensees (if applicable) shall, be entitled to describe itself as X4's "Authorized Licensee" (or similar) for the Licensed Product, but shall not be, or be considered as, X4's or Genzyme’s agent for sales of the Licensed Product or as being entitled to bind X4 or Genzyme in any way.</w:t>
      </w:r>
    </w:p>
    <w:p>
      <w:pPr>
        <w:spacing w:after="0" w:line="175" w:lineRule="exact"/>
        <w:rPr>
          <w:sz w:val="20"/>
          <w:szCs w:val="20"/>
          <w:color w:val="auto"/>
        </w:rPr>
      </w:pPr>
    </w:p>
    <w:p>
      <w:pPr>
        <w:jc w:val="both"/>
        <w:ind w:left="460" w:hanging="635"/>
        <w:spacing w:after="0" w:line="260" w:lineRule="auto"/>
        <w:tabs>
          <w:tab w:leader="none" w:pos="440" w:val="left"/>
        </w:tabs>
        <w:rPr>
          <w:sz w:val="20"/>
          <w:szCs w:val="20"/>
          <w:color w:val="auto"/>
        </w:rPr>
      </w:pPr>
      <w:r>
        <w:rPr>
          <w:rFonts w:ascii="Arial" w:cs="Arial" w:eastAsia="Arial" w:hAnsi="Arial"/>
          <w:sz w:val="18"/>
          <w:szCs w:val="18"/>
          <w:color w:val="auto"/>
        </w:rPr>
        <w:t>2.4</w:t>
        <w:tab/>
        <w:t xml:space="preserve">For the avoidance of doubt, subject to </w:t>
      </w:r>
      <w:r>
        <w:rPr>
          <w:rFonts w:ascii="Arial" w:cs="Arial" w:eastAsia="Arial" w:hAnsi="Arial"/>
          <w:sz w:val="18"/>
          <w:szCs w:val="18"/>
          <w:u w:val="single" w:color="auto"/>
          <w:color w:val="auto"/>
        </w:rPr>
        <w:t>Section 4.2 and Section 5.2</w:t>
      </w:r>
      <w:r>
        <w:rPr>
          <w:rFonts w:ascii="Arial" w:cs="Arial" w:eastAsia="Arial" w:hAnsi="Arial"/>
          <w:sz w:val="18"/>
          <w:szCs w:val="18"/>
          <w:color w:val="auto"/>
        </w:rPr>
        <w:t>, no right or license to manufacture, conduct research in relation to the Licensed Product or to develop (including, for clarity, conducting Clinical Studies on) the Licensed Product is granted under this Agreement. Licensee shall not modify the Licensed Product without specific prior written permission from 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93" w:right="339" w:bottom="1440" w:gutter="0" w:footer="0" w:header="0"/>
        </w:sectPr>
      </w:pPr>
    </w:p>
    <w:bookmarkStart w:id="134" w:name="page135"/>
    <w:bookmarkEnd w:id="134"/>
    <w:p>
      <w:pPr>
        <w:jc w:val="both"/>
        <w:ind w:left="500" w:hanging="635"/>
        <w:spacing w:after="0" w:line="255"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0">
                      <a:extLst>
                        <a:ext uri="{28A0092B-C50C-407E-A947-70E740481C1C}"/>
                      </a:extLst>
                    </a:blip>
                    <a:srcRect/>
                    <a:stretch>
                      <a:fillRect/>
                    </a:stretch>
                  </pic:blipFill>
                  <pic:spPr bwMode="auto">
                    <a:xfrm>
                      <a:off x="0" y="0"/>
                      <a:ext cx="7134860" cy="8255"/>
                    </a:xfrm>
                    <a:prstGeom prst="rect">
                      <a:avLst/>
                    </a:prstGeom>
                    <a:noFill/>
                  </pic:spPr>
                </pic:pic>
              </a:graphicData>
            </a:graphic>
          </wp:anchor>
        </w:drawing>
        <w:t>2.5</w:t>
        <w:tab/>
        <w:t>Licensee shall not, directly or indirectly, actively distribute, market and sell the Licensed Product outside the Territory, and X4 shall not directly or indirectly, actively distribute, market and sell the Licensed Product in the Territory. Licensee shall promptly inform X4 as to any request from a Third Party for Licensed Product coming from outside the Territory. X4 shall promptly inform Licensee as to any request from a Third Party for Licensed Product coming from within the Territory.</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u w:val="single" w:color="auto"/>
          <w:color w:val="auto"/>
        </w:rPr>
        <w:t>Retention of Rights</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2.6.1</w:t>
        <w:tab/>
        <w:t>Notwithstanding anything to the contrary in this Agreement, Licensee acknowledges that Genzyme retains, on behalf of itself and its Affiliates, the exclusive right in and to the Licensed Patents licensed under the Head License to exploit, commercialize, manufacture and develop Licensed Products in the Territory outside of the Field and solely for use in Mozobil Indications, Allo-HSCT Treatments and Auto-HSCT Treatments.</w:t>
      </w:r>
    </w:p>
    <w:p>
      <w:pPr>
        <w:spacing w:after="0" w:line="180"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2.6.2</w:t>
        <w:tab/>
        <w:t>Notwithstanding anything to the contrary in this Agreement, Licensee acknowledges that Genzyme retains, on behalf of itself and its Affiliates, the non-exclusive right in and to the Licensed Patents licensed under the Head License to conduct preclinical research and testing in the Field in the Territory, and to manufacture the compound contained in the Licensed Product solely for use in the performance of such preclinical research and testing.</w:t>
      </w:r>
    </w:p>
    <w:p>
      <w:pPr>
        <w:spacing w:after="0" w:line="180" w:lineRule="exact"/>
        <w:rPr>
          <w:sz w:val="20"/>
          <w:szCs w:val="20"/>
          <w:color w:val="auto"/>
        </w:rPr>
      </w:pPr>
    </w:p>
    <w:p>
      <w:pPr>
        <w:jc w:val="both"/>
        <w:ind w:left="440" w:hanging="635"/>
        <w:spacing w:after="0" w:line="255" w:lineRule="auto"/>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Head License</w:t>
      </w:r>
      <w:r>
        <w:rPr>
          <w:rFonts w:ascii="Arial" w:cs="Arial" w:eastAsia="Arial" w:hAnsi="Arial"/>
          <w:sz w:val="18"/>
          <w:szCs w:val="18"/>
          <w:color w:val="auto"/>
        </w:rPr>
        <w:t>. Licensee agrees to be bound by all applicable terms and conditions of the Head License. X4 shall promptly notify Licensee</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any proposed amendment to the Head License and no such amendment shall be binding on Licensee unless so notified. X4 shall not amend the terms of the Head License or the Hercules Loan in a manner that will adversely affect the rights and obligations of Licensee under this Agreement without the prior written approval of Licensee.</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Sublicensing and Subcontracting</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49" w:lineRule="auto"/>
        <w:tabs>
          <w:tab w:leader="none" w:pos="12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u w:val="single" w:color="auto"/>
          <w:color w:val="auto"/>
        </w:rPr>
        <w:t>Sublicensing</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Section 2.8.2 </w:t>
      </w:r>
      <w:r>
        <w:rPr>
          <w:rFonts w:ascii="Arial" w:cs="Arial" w:eastAsia="Arial" w:hAnsi="Arial"/>
          <w:sz w:val="18"/>
          <w:szCs w:val="18"/>
          <w:color w:val="auto"/>
        </w:rPr>
        <w:t>and</w:t>
      </w:r>
      <w:r>
        <w:rPr>
          <w:rFonts w:ascii="Arial" w:cs="Arial" w:eastAsia="Arial" w:hAnsi="Arial"/>
          <w:sz w:val="18"/>
          <w:szCs w:val="18"/>
          <w:u w:val="single" w:color="auto"/>
          <w:color w:val="auto"/>
        </w:rPr>
        <w:t xml:space="preserve"> Section 2.8.3</w:t>
      </w:r>
      <w:r>
        <w:rPr>
          <w:rFonts w:ascii="Arial" w:cs="Arial" w:eastAsia="Arial" w:hAnsi="Arial"/>
          <w:sz w:val="18"/>
          <w:szCs w:val="18"/>
          <w:color w:val="auto"/>
        </w:rPr>
        <w:t>, Licensee may grant sublicenses to its Affiliates and Third Parties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without X4's prior written consent, provided that (i) all sublicenses, and each sublicensee, shall be subject to the applicable terms and conditions of this Agreement and the Head License; (ii) Licensee shall remain responsible and liable for all of the sublicensee's compliance (and any failures to comply) with the applicable terms and conditions of this Agreement and the Head License; (iii) no sublicense will diminish, reduce, or eliminate any obligation of Licensee under this Agreement; and</w:t>
      </w:r>
    </w:p>
    <w:p>
      <w:pPr>
        <w:spacing w:after="0" w:line="2" w:lineRule="exact"/>
        <w:rPr>
          <w:sz w:val="20"/>
          <w:szCs w:val="20"/>
          <w:color w:val="auto"/>
        </w:rPr>
      </w:pPr>
    </w:p>
    <w:p>
      <w:pPr>
        <w:jc w:val="both"/>
        <w:ind w:left="1280" w:hanging="2"/>
        <w:spacing w:after="0" w:line="250" w:lineRule="auto"/>
        <w:tabs>
          <w:tab w:leader="none" w:pos="15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Licensee shall provide written notice of the execution of any sublicense to a Third Party under this </w:t>
      </w:r>
      <w:r>
        <w:rPr>
          <w:rFonts w:ascii="Arial" w:cs="Arial" w:eastAsia="Arial" w:hAnsi="Arial"/>
          <w:sz w:val="18"/>
          <w:szCs w:val="18"/>
          <w:u w:val="single" w:color="auto"/>
          <w:color w:val="auto"/>
        </w:rPr>
        <w:t>Section 2.8.1</w:t>
      </w:r>
      <w:r>
        <w:rPr>
          <w:rFonts w:ascii="Arial" w:cs="Arial" w:eastAsia="Arial" w:hAnsi="Arial"/>
          <w:sz w:val="18"/>
          <w:szCs w:val="18"/>
          <w:color w:val="auto"/>
        </w:rPr>
        <w:t>, which written notice shall include a copy of any such sublicense (which copy may be redacted by Licensee with respect to obligations that are not relevant to Licensee’s obligations under this Agreement)</w:t>
      </w:r>
    </w:p>
    <w:p>
      <w:pPr>
        <w:spacing w:after="0" w:line="185" w:lineRule="exact"/>
        <w:rPr>
          <w:sz w:val="20"/>
          <w:szCs w:val="20"/>
          <w:color w:val="auto"/>
        </w:rPr>
      </w:pPr>
    </w:p>
    <w:p>
      <w:pPr>
        <w:jc w:val="both"/>
        <w:ind w:left="1280" w:hanging="635"/>
        <w:spacing w:after="0" w:line="253" w:lineRule="auto"/>
        <w:tabs>
          <w:tab w:leader="none" w:pos="1260" w:val="left"/>
        </w:tabs>
        <w:rPr>
          <w:sz w:val="20"/>
          <w:szCs w:val="20"/>
          <w:color w:val="auto"/>
        </w:rPr>
      </w:pPr>
      <w:r>
        <w:rPr>
          <w:rFonts w:ascii="Arial" w:cs="Arial" w:eastAsia="Arial" w:hAnsi="Arial"/>
          <w:sz w:val="18"/>
          <w:szCs w:val="18"/>
          <w:color w:val="auto"/>
        </w:rPr>
        <w:t>2.8.2</w:t>
        <w:tab/>
        <w:t>Licensee shall not sublicense the rights granted to Licensee under this Agreement to commercialize Licensed Product in respect of France, Germany, Italy, the United Kingdom, Spain or Australia to any Third Party without X4's express prior written consent (which consent shall not be unreasonably withheld, conditioned or delayed). For clarity, X4’s consent is not required to the grant of sublicenses in service provider agreements, including distributors, wholesalers or other subcontractors engaged on a fee-for-service basis.</w:t>
      </w:r>
    </w:p>
    <w:p>
      <w:pPr>
        <w:spacing w:after="0" w:line="181" w:lineRule="exact"/>
        <w:rPr>
          <w:sz w:val="20"/>
          <w:szCs w:val="20"/>
          <w:color w:val="auto"/>
        </w:rPr>
      </w:pPr>
    </w:p>
    <w:p>
      <w:pPr>
        <w:jc w:val="both"/>
        <w:ind w:left="1260" w:hanging="635"/>
        <w:spacing w:after="0" w:line="304" w:lineRule="auto"/>
        <w:tabs>
          <w:tab w:leader="none" w:pos="12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7"/>
          <w:szCs w:val="17"/>
          <w:u w:val="single" w:color="auto"/>
          <w:color w:val="auto"/>
        </w:rPr>
        <w:t>Subcontracting</w:t>
      </w:r>
      <w:r>
        <w:rPr>
          <w:rFonts w:ascii="Arial" w:cs="Arial" w:eastAsia="Arial" w:hAnsi="Arial"/>
          <w:sz w:val="17"/>
          <w:szCs w:val="17"/>
          <w:color w:val="auto"/>
        </w:rPr>
        <w:t>. Licensee (and its Affiliates and sublicensees) may subcontract any of its activities under this Agreement to an</w:t>
      </w:r>
      <w:r>
        <w:rPr>
          <w:rFonts w:ascii="Arial" w:cs="Arial" w:eastAsia="Arial" w:hAnsi="Arial"/>
          <w:sz w:val="17"/>
          <w:szCs w:val="17"/>
          <w:u w:val="single" w:color="auto"/>
          <w:color w:val="auto"/>
        </w:rPr>
        <w:t xml:space="preserve"> </w:t>
      </w:r>
      <w:r>
        <w:rPr>
          <w:rFonts w:ascii="Arial" w:cs="Arial" w:eastAsia="Arial" w:hAnsi="Arial"/>
          <w:sz w:val="17"/>
          <w:szCs w:val="17"/>
          <w:color w:val="auto"/>
        </w:rPr>
        <w:t>Affiliate or a Third Party subcontractor; provided, that, in each case, any subcontract granted or entered into by Licensee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369570</wp:posOffset>
            </wp:positionV>
            <wp:extent cx="71348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95" w:right="339" w:bottom="1440" w:gutter="0" w:footer="0" w:header="0"/>
        </w:sectPr>
      </w:pPr>
    </w:p>
    <w:bookmarkStart w:id="135" w:name="page136"/>
    <w:bookmarkEnd w:id="135"/>
    <w:p>
      <w:pPr>
        <w:jc w:val="both"/>
        <w:ind w:left="128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2">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its Affiliate or sublicensee) will not relieve Licensee (or such Affiliate or sublicensee, as applicable) from any of its obligations under this Agreement. Licensee will be responsible for the acts and omissions of its (and its Affiliate's or sublicensee's, as applicable) subcontractors in connection with their performance of any of its obligations or exercise of any of its rights hereunder. Any agreement with a subcontractor to perform activities on behalf of Licensee under this Agreement will be consistent with Licensee's obligations under this Agreement, including confidentiality which are no less stringent than those set forth in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(but of shorter duration if customary under the circumstances).</w:t>
      </w:r>
    </w:p>
    <w:p>
      <w:pPr>
        <w:spacing w:after="0" w:line="185" w:lineRule="exact"/>
        <w:rPr>
          <w:sz w:val="20"/>
          <w:szCs w:val="20"/>
          <w:color w:val="auto"/>
        </w:rPr>
      </w:pPr>
    </w:p>
    <w:p>
      <w:pPr>
        <w:jc w:val="both"/>
        <w:ind w:left="520" w:hanging="635"/>
        <w:spacing w:after="0" w:line="253" w:lineRule="auto"/>
        <w:tabs>
          <w:tab w:leader="none" w:pos="5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Licensee's Basic Obli</w:t>
      </w:r>
      <w:r>
        <w:rPr>
          <w:rFonts w:ascii="Arial" w:cs="Arial" w:eastAsia="Arial" w:hAnsi="Arial"/>
          <w:sz w:val="18"/>
          <w:szCs w:val="18"/>
          <w:color w:val="auto"/>
        </w:rPr>
        <w:t>g</w:t>
      </w:r>
      <w:r>
        <w:rPr>
          <w:rFonts w:ascii="Arial" w:cs="Arial" w:eastAsia="Arial" w:hAnsi="Arial"/>
          <w:sz w:val="18"/>
          <w:szCs w:val="18"/>
          <w:u w:val="single" w:color="auto"/>
          <w:color w:val="auto"/>
        </w:rPr>
        <w:t>ations</w:t>
      </w:r>
      <w:r>
        <w:rPr>
          <w:rFonts w:ascii="Arial" w:cs="Arial" w:eastAsia="Arial" w:hAnsi="Arial"/>
          <w:sz w:val="18"/>
          <w:szCs w:val="18"/>
          <w:color w:val="auto"/>
        </w:rPr>
        <w:t>. Licensee shall ensure that its, and all of its sublicensees’, development and commercialization activities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this Agreement are in a good scientific manner and in compliance with all Applicable Law, including without limitation in relation to Packaging and labelling and other regulatory and quality related matters. This shall include any repackaging/relabeling with Territory-specific packaging and tracking of Licensed Product inventory throughout the entirety of the supply chain as may be reasonably necessary.</w:t>
      </w:r>
    </w:p>
    <w:p>
      <w:pPr>
        <w:spacing w:after="0" w:line="181" w:lineRule="exact"/>
        <w:rPr>
          <w:sz w:val="20"/>
          <w:szCs w:val="20"/>
          <w:color w:val="auto"/>
        </w:rPr>
      </w:pPr>
    </w:p>
    <w:p>
      <w:pPr>
        <w:jc w:val="both"/>
        <w:ind w:left="560" w:hanging="635"/>
        <w:spacing w:after="0" w:line="253" w:lineRule="auto"/>
        <w:tabs>
          <w:tab w:leader="none" w:pos="5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u w:val="single" w:color="auto"/>
          <w:color w:val="auto"/>
        </w:rPr>
        <w:t>Licenses to X4</w:t>
      </w:r>
      <w:r>
        <w:rPr>
          <w:rFonts w:ascii="Arial" w:cs="Arial" w:eastAsia="Arial" w:hAnsi="Arial"/>
          <w:sz w:val="18"/>
          <w:szCs w:val="18"/>
          <w:color w:val="auto"/>
        </w:rPr>
        <w:t>. Licensee, for itself and its Affiliates, hereby grants to X4 and its Affiliates in accordance with the terms and conditions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a non-exclusive, royalty-free, fully paid up right and license to use any enhancements, improvements, information and data specifically relating to the Licensed Product that is developed by Licensee or its Affiliates (“</w:t>
      </w:r>
      <w:r>
        <w:rPr>
          <w:rFonts w:ascii="Arial" w:cs="Arial" w:eastAsia="Arial" w:hAnsi="Arial"/>
          <w:sz w:val="18"/>
          <w:szCs w:val="18"/>
          <w:b w:val="1"/>
          <w:bCs w:val="1"/>
          <w:color w:val="auto"/>
        </w:rPr>
        <w:t>Licensee Improvements</w:t>
      </w:r>
      <w:r>
        <w:rPr>
          <w:rFonts w:ascii="Arial" w:cs="Arial" w:eastAsia="Arial" w:hAnsi="Arial"/>
          <w:sz w:val="18"/>
          <w:szCs w:val="18"/>
          <w:color w:val="auto"/>
        </w:rPr>
        <w:t>”), provided that the Licensee Improvements are used solely to import, export, promote, distribute, market, advertise, offer for sale, have sold and sell the Licensed Product by X4 and its Affiliates outside the Territory and in the Field.</w:t>
      </w:r>
    </w:p>
    <w:p>
      <w:pPr>
        <w:spacing w:after="0" w:line="179" w:lineRule="exact"/>
        <w:rPr>
          <w:sz w:val="20"/>
          <w:szCs w:val="20"/>
          <w:color w:val="auto"/>
        </w:rPr>
      </w:pPr>
    </w:p>
    <w:p>
      <w:pPr>
        <w:ind w:left="340" w:hanging="334"/>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Licensee Representations and Warranties</w:t>
      </w:r>
      <w:r>
        <w:rPr>
          <w:rFonts w:ascii="Arial" w:cs="Arial" w:eastAsia="Arial" w:hAnsi="Arial"/>
          <w:sz w:val="17"/>
          <w:szCs w:val="17"/>
          <w:color w:val="auto"/>
        </w:rPr>
        <w:t>. Licensee represents, warrants and covenants to X4 that:</w:t>
      </w:r>
    </w:p>
    <w:p>
      <w:pPr>
        <w:spacing w:after="0" w:line="21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it has the corporate power and authority to enter into this Agreement and to consummate the transactions contemplated hereby;</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3.1.2</w:t>
        <w:tab/>
        <w:t>neither the execution and delivery of this Agreement by it, nor its performance hereunder, conflicts with or will result in any violation or breach of, or constitutes (with or without due notice or lapse of time or both) a default under any of the terms or conditions of any note, indenture, license, agreement or other instrument or obligation to which it is a party or by which it or any of its properties or assets may be bound; or to its best knowledge, violates any Applicable Law;</w:t>
      </w:r>
    </w:p>
    <w:p>
      <w:pPr>
        <w:spacing w:after="0" w:line="180"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3.1.3</w:t>
        <w:tab/>
        <w:t>this Agreement is a legal, valid and binding agreement of Licensee, enforceable in accordance with its terms, subject to applicable bankruptcy, insolvency, reorganization, moratorium, fraudulent transfer and other similar laws affecting creditors' rights generally from time to time in effect and to general principles of equity (including concepts of materiality, reasonableness, good faith and fair dealing), regardless of whether considered in a proceeding in equity or at law;</w:t>
      </w:r>
    </w:p>
    <w:p>
      <w:pPr>
        <w:spacing w:after="0" w:line="180" w:lineRule="exact"/>
        <w:rPr>
          <w:sz w:val="20"/>
          <w:szCs w:val="20"/>
          <w:color w:val="auto"/>
        </w:rPr>
      </w:pPr>
    </w:p>
    <w:p>
      <w:pPr>
        <w:jc w:val="both"/>
        <w:ind w:left="1260" w:hanging="635"/>
        <w:spacing w:after="0" w:line="260" w:lineRule="auto"/>
        <w:tabs>
          <w:tab w:leader="none" w:pos="1240" w:val="left"/>
        </w:tabs>
        <w:rPr>
          <w:sz w:val="20"/>
          <w:szCs w:val="20"/>
          <w:color w:val="auto"/>
        </w:rPr>
      </w:pPr>
      <w:r>
        <w:rPr>
          <w:rFonts w:ascii="Arial" w:cs="Arial" w:eastAsia="Arial" w:hAnsi="Arial"/>
          <w:sz w:val="18"/>
          <w:szCs w:val="18"/>
          <w:color w:val="auto"/>
        </w:rPr>
        <w:t>3.1.4</w:t>
        <w:tab/>
        <w:t xml:space="preserve">it has not been debarred, is not subject to debarment, and will not use, in any capacity in connection with the obligations to be performed under this Agreement, any person who to its knowledge has been debarred pursuant to Section 306 of the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Food, Drug and Cosmetic Act </w:t>
      </w:r>
      <w:r>
        <w:rPr>
          <w:rFonts w:ascii="Arial" w:cs="Arial" w:eastAsia="Arial" w:hAnsi="Arial"/>
          <w:sz w:val="18"/>
          <w:szCs w:val="18"/>
          <w:color w:val="auto"/>
        </w:rPr>
        <w:t>or similar Applicable Law in the Territory;</w:t>
      </w:r>
    </w:p>
    <w:p>
      <w:pPr>
        <w:spacing w:after="0" w:line="175" w:lineRule="exact"/>
        <w:rPr>
          <w:sz w:val="20"/>
          <w:szCs w:val="20"/>
          <w:color w:val="auto"/>
        </w:rPr>
      </w:pPr>
    </w:p>
    <w:p>
      <w:pPr>
        <w:jc w:val="both"/>
        <w:ind w:left="1260" w:hanging="635"/>
        <w:spacing w:after="0" w:line="260" w:lineRule="auto"/>
        <w:tabs>
          <w:tab w:leader="none" w:pos="1240" w:val="left"/>
        </w:tabs>
        <w:rPr>
          <w:sz w:val="20"/>
          <w:szCs w:val="20"/>
          <w:color w:val="auto"/>
        </w:rPr>
      </w:pPr>
      <w:r>
        <w:rPr>
          <w:rFonts w:ascii="Arial" w:cs="Arial" w:eastAsia="Arial" w:hAnsi="Arial"/>
          <w:sz w:val="18"/>
          <w:szCs w:val="18"/>
          <w:color w:val="auto"/>
        </w:rPr>
        <w:t>3.1.5</w:t>
        <w:tab/>
        <w:t>as of the Effective Date, there is no suit, investigation, action or proceeding pending or, to its knowledge, any claim, suit, action or proceeding threatened against Licensee (including any relating to infringement by Licensee) before any court, governmental agency, or arbitration panel which may in any way materially adversely affect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95" w:right="339" w:bottom="1440" w:gutter="0" w:footer="0" w:header="0"/>
        </w:sectPr>
      </w:pPr>
    </w:p>
    <w:bookmarkStart w:id="136" w:name="page137"/>
    <w:bookmarkEnd w:id="136"/>
    <w:p>
      <w:pPr>
        <w:ind w:left="1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4">
                      <a:extLst>
                        <a:ext uri="{28A0092B-C50C-407E-A947-70E740481C1C}"/>
                      </a:extLst>
                    </a:blip>
                    <a:srcRect/>
                    <a:stretch>
                      <a:fillRect/>
                    </a:stretch>
                  </pic:blipFill>
                  <pic:spPr bwMode="auto">
                    <a:xfrm>
                      <a:off x="0" y="0"/>
                      <a:ext cx="7134860" cy="8255"/>
                    </a:xfrm>
                    <a:prstGeom prst="rect">
                      <a:avLst/>
                    </a:prstGeom>
                    <a:noFill/>
                  </pic:spPr>
                </pic:pic>
              </a:graphicData>
            </a:graphic>
          </wp:anchor>
        </w:drawing>
        <w:t>performance of its obligations hereunder or transaction contemplated by this Agreement; and</w:t>
      </w:r>
    </w:p>
    <w:p>
      <w:pPr>
        <w:spacing w:after="0" w:line="217"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3.1.6</w:t>
        <w:tab/>
        <w:t xml:space="preserve">it will not make, nor will it promise to make, and it shall use Commercially Reasonable Efforts to procure that its sublicensees and Third Party contractors will not make or promise to make, any payment in violation of the </w:t>
      </w:r>
      <w:r>
        <w:rPr>
          <w:rFonts w:ascii="Arial" w:cs="Arial" w:eastAsia="Arial" w:hAnsi="Arial"/>
          <w:sz w:val="18"/>
          <w:szCs w:val="18"/>
          <w:i w:val="1"/>
          <w:iCs w:val="1"/>
          <w:color w:val="auto"/>
        </w:rPr>
        <w:t>United States Foreign Corrupt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Practices Act </w:t>
      </w:r>
      <w:r>
        <w:rPr>
          <w:rFonts w:ascii="Arial" w:cs="Arial" w:eastAsia="Arial" w:hAnsi="Arial"/>
          <w:sz w:val="18"/>
          <w:szCs w:val="18"/>
          <w:color w:val="auto"/>
        </w:rPr>
        <w:t>or similar Applicable Law in Territory; and</w:t>
      </w:r>
    </w:p>
    <w:p>
      <w:pPr>
        <w:spacing w:after="0" w:line="175" w:lineRule="exact"/>
        <w:rPr>
          <w:sz w:val="20"/>
          <w:szCs w:val="20"/>
          <w:color w:val="auto"/>
        </w:rPr>
      </w:pPr>
    </w:p>
    <w:p>
      <w:pPr>
        <w:jc w:val="both"/>
        <w:ind w:left="1260" w:hanging="635"/>
        <w:spacing w:after="0" w:line="260" w:lineRule="auto"/>
        <w:tabs>
          <w:tab w:leader="none" w:pos="1240" w:val="left"/>
        </w:tabs>
        <w:rPr>
          <w:sz w:val="20"/>
          <w:szCs w:val="20"/>
          <w:color w:val="auto"/>
        </w:rPr>
      </w:pPr>
      <w:r>
        <w:rPr>
          <w:rFonts w:ascii="Arial" w:cs="Arial" w:eastAsia="Arial" w:hAnsi="Arial"/>
          <w:sz w:val="18"/>
          <w:szCs w:val="18"/>
          <w:color w:val="auto"/>
        </w:rPr>
        <w:t>3.1.7</w:t>
        <w:tab/>
        <w:t xml:space="preserve">it shall conduct appropriate due diligence of its proposed sublicensees and the Third Party contractors that it intends to engage in connection with this Agreement for the purposes of compliance with the </w:t>
      </w:r>
      <w:r>
        <w:rPr>
          <w:rFonts w:ascii="Arial" w:cs="Arial" w:eastAsia="Arial" w:hAnsi="Arial"/>
          <w:sz w:val="18"/>
          <w:szCs w:val="18"/>
          <w:i w:val="1"/>
          <w:iCs w:val="1"/>
          <w:color w:val="auto"/>
        </w:rPr>
        <w:t>United States Foreign Corrupt Practices Act</w:t>
      </w:r>
      <w:r>
        <w:rPr>
          <w:rFonts w:ascii="Arial" w:cs="Arial" w:eastAsia="Arial" w:hAnsi="Arial"/>
          <w:sz w:val="18"/>
          <w:szCs w:val="18"/>
          <w:color w:val="auto"/>
        </w:rPr>
        <w:t xml:space="preserve"> or similar Applicable Law in the Territory.</w:t>
      </w:r>
    </w:p>
    <w:p>
      <w:pPr>
        <w:spacing w:after="0" w:line="17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X4 Representation and Warranties</w:t>
      </w:r>
      <w:r>
        <w:rPr>
          <w:rFonts w:ascii="Arial" w:cs="Arial" w:eastAsia="Arial" w:hAnsi="Arial"/>
          <w:sz w:val="17"/>
          <w:szCs w:val="17"/>
          <w:color w:val="auto"/>
        </w:rPr>
        <w:t>. X4 represents, warrants and covenants to Licensee that:</w:t>
      </w:r>
    </w:p>
    <w:p>
      <w:pPr>
        <w:spacing w:after="0" w:line="21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it has the corporate power and authority to enter into this Agreement and to consummate the transactions contemplated hereby;</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3.2.2</w:t>
        <w:tab/>
        <w:t>neither the execution and delivery of this Agreement by it, nor its performance hereunder, conflicts with or will result in any violation or breach of, or constitutes (with or without due notice or lapse of time or both) a default under any of the terms or conditions of any note, indenture, license, agreement or other instrument or obligation to which it is a Party or by which it or any of its properties or assets may be bound; or to its best knowledge, violates any Applicable Law;</w:t>
      </w:r>
    </w:p>
    <w:p>
      <w:pPr>
        <w:spacing w:after="0" w:line="180"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3.2.3</w:t>
        <w:tab/>
        <w:t>this Agreement is a legal, valid and binding agreement of X4, enforceable in accordance with its terms, subject to applicable bankruptcy, insolvency, reorganization, moratorium, fraudulent transfer and other similar laws affecting creditors' rights generally from time to time in effect and to general principles of equity (including concepts of materiality, reasonableness, good faith and fair dealing), regardless of whether considered in a proceeding in equity or at law;</w:t>
      </w:r>
    </w:p>
    <w:p>
      <w:pPr>
        <w:spacing w:after="0" w:line="180" w:lineRule="exact"/>
        <w:rPr>
          <w:sz w:val="20"/>
          <w:szCs w:val="20"/>
          <w:color w:val="auto"/>
        </w:rPr>
      </w:pPr>
    </w:p>
    <w:p>
      <w:pPr>
        <w:jc w:val="both"/>
        <w:ind w:left="1260" w:hanging="635"/>
        <w:spacing w:after="0" w:line="260" w:lineRule="auto"/>
        <w:tabs>
          <w:tab w:leader="none" w:pos="1240" w:val="left"/>
        </w:tabs>
        <w:rPr>
          <w:sz w:val="20"/>
          <w:szCs w:val="20"/>
          <w:color w:val="auto"/>
        </w:rPr>
      </w:pPr>
      <w:r>
        <w:rPr>
          <w:rFonts w:ascii="Arial" w:cs="Arial" w:eastAsia="Arial" w:hAnsi="Arial"/>
          <w:sz w:val="18"/>
          <w:szCs w:val="18"/>
          <w:color w:val="auto"/>
        </w:rPr>
        <w:t>3.2.4</w:t>
        <w:tab/>
        <w:t xml:space="preserve">it has not been debarred, is not subject to debarment, and will not use, in any capacity in connection with the obligations to be performed under this Agreement, any person who to its knowledge has been debarred pursuant to Section 306 of the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Food, Drug and Cosmetic Act </w:t>
      </w:r>
      <w:r>
        <w:rPr>
          <w:rFonts w:ascii="Arial" w:cs="Arial" w:eastAsia="Arial" w:hAnsi="Arial"/>
          <w:sz w:val="18"/>
          <w:szCs w:val="18"/>
          <w:color w:val="auto"/>
        </w:rPr>
        <w:t>or similar Applicable Law in the Territory;</w:t>
      </w:r>
    </w:p>
    <w:p>
      <w:pPr>
        <w:spacing w:after="0" w:line="175" w:lineRule="exact"/>
        <w:rPr>
          <w:sz w:val="20"/>
          <w:szCs w:val="20"/>
          <w:color w:val="auto"/>
        </w:rPr>
      </w:pPr>
    </w:p>
    <w:p>
      <w:pPr>
        <w:jc w:val="both"/>
        <w:ind w:left="1260" w:hanging="635"/>
        <w:spacing w:after="0" w:line="255" w:lineRule="auto"/>
        <w:tabs>
          <w:tab w:leader="none" w:pos="1240" w:val="left"/>
        </w:tabs>
        <w:rPr>
          <w:sz w:val="20"/>
          <w:szCs w:val="20"/>
          <w:color w:val="auto"/>
        </w:rPr>
      </w:pPr>
      <w:r>
        <w:rPr>
          <w:rFonts w:ascii="Arial" w:cs="Arial" w:eastAsia="Arial" w:hAnsi="Arial"/>
          <w:sz w:val="18"/>
          <w:szCs w:val="18"/>
          <w:color w:val="auto"/>
        </w:rPr>
        <w:t>3.2.5</w:t>
        <w:tab/>
        <w:t>as of the Effective Date, there is no suit, investigation, action or proceeding pending or, to its knowledge, any claim, suit, action or proceeding threatened against X4 (including any relating to infringement by X4) before any court, governmental agency, or arbitration panel which may in any way materially adversely affect the performance of its obligations hereunder or transaction contemplated by this Agreement;</w:t>
      </w:r>
    </w:p>
    <w:p>
      <w:pPr>
        <w:spacing w:after="0" w:line="18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the Licensed Product has been developed in a diligent, professional manner and in full compliance with all Applicable Laws;</w:t>
      </w:r>
    </w:p>
    <w:p>
      <w:pPr>
        <w:spacing w:after="0" w:line="217"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3.2.7</w:t>
        <w:tab/>
        <w:t>it has not and will not enter into any contract or any other transaction with any Third Party or Affiliate that conflicts with or derogates from its undertakings hereunder or diminishes the rights of Licensee hereunder;</w:t>
      </w:r>
    </w:p>
    <w:p>
      <w:pPr>
        <w:spacing w:after="0" w:line="163"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3.2.8</w:t>
        <w:tab/>
        <w:t xml:space="preserve">it will not make nor will it promise to make, and it shall use Commercially Reasonable Efforts to procure that its Third Party contractors engaged in connection with this Agreement will not make nor will they promise to make, any payment in violation of the </w:t>
      </w:r>
      <w:r>
        <w:rPr>
          <w:rFonts w:ascii="Arial" w:cs="Arial" w:eastAsia="Arial" w:hAnsi="Arial"/>
          <w:sz w:val="18"/>
          <w:szCs w:val="18"/>
          <w:i w:val="1"/>
          <w:iCs w:val="1"/>
          <w:color w:val="auto"/>
        </w:rPr>
        <w:t>United States Foreign Corrupt Practices Act</w:t>
      </w:r>
      <w:r>
        <w:rPr>
          <w:rFonts w:ascii="Arial" w:cs="Arial" w:eastAsia="Arial" w:hAnsi="Arial"/>
          <w:sz w:val="18"/>
          <w:szCs w:val="18"/>
          <w:color w:val="auto"/>
        </w:rPr>
        <w:t xml:space="preserve"> or similar Applicable Law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95" w:right="339" w:bottom="1440" w:gutter="0" w:footer="0" w:header="0"/>
        </w:sectPr>
      </w:pPr>
    </w:p>
    <w:bookmarkStart w:id="137" w:name="page138"/>
    <w:bookmarkEnd w:id="137"/>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6">
                      <a:extLst>
                        <a:ext uri="{28A0092B-C50C-407E-A947-70E740481C1C}"/>
                      </a:extLst>
                    </a:blip>
                    <a:srcRect/>
                    <a:stretch>
                      <a:fillRect/>
                    </a:stretch>
                  </pic:blipFill>
                  <pic:spPr bwMode="auto">
                    <a:xfrm>
                      <a:off x="0" y="0"/>
                      <a:ext cx="7134860" cy="8255"/>
                    </a:xfrm>
                    <a:prstGeom prst="rect">
                      <a:avLst/>
                    </a:prstGeom>
                    <a:noFill/>
                  </pic:spPr>
                </pic:pic>
              </a:graphicData>
            </a:graphic>
          </wp:anchor>
        </w:drawing>
        <w:t>3.2.9</w:t>
        <w:tab/>
        <w:t xml:space="preserve">it shall conduct appropriate due diligence of the Third Party contractors that it intends to engage in connection with this Agreement for the purposes of compliance with the </w:t>
      </w:r>
      <w:r>
        <w:rPr>
          <w:rFonts w:ascii="Arial" w:cs="Arial" w:eastAsia="Arial" w:hAnsi="Arial"/>
          <w:sz w:val="18"/>
          <w:szCs w:val="18"/>
          <w:i w:val="1"/>
          <w:iCs w:val="1"/>
          <w:color w:val="auto"/>
        </w:rPr>
        <w:t>United States Foreign Corrupt Practices Act</w:t>
      </w:r>
      <w:r>
        <w:rPr>
          <w:rFonts w:ascii="Arial" w:cs="Arial" w:eastAsia="Arial" w:hAnsi="Arial"/>
          <w:sz w:val="18"/>
          <w:szCs w:val="18"/>
          <w:color w:val="auto"/>
        </w:rPr>
        <w:t xml:space="preserve"> or similar Applicable Law in the Territory;</w:t>
      </w:r>
    </w:p>
    <w:p>
      <w:pPr>
        <w:spacing w:after="0" w:line="17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3.2.10</w:t>
      </w:r>
      <w:r>
        <w:rPr>
          <w:sz w:val="20"/>
          <w:szCs w:val="20"/>
          <w:color w:val="auto"/>
        </w:rPr>
        <w:tab/>
      </w:r>
      <w:r>
        <w:rPr>
          <w:rFonts w:ascii="Arial" w:cs="Arial" w:eastAsia="Arial" w:hAnsi="Arial"/>
          <w:sz w:val="17"/>
          <w:szCs w:val="17"/>
          <w:color w:val="auto"/>
        </w:rPr>
        <w:t>it has the right to grant to Licensee the licenses it purports to grant hereunder;</w:t>
      </w:r>
    </w:p>
    <w:p>
      <w:pPr>
        <w:spacing w:after="0" w:line="217"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3.2.11</w:t>
        <w:tab/>
        <w:t>it is the owner or licensee of (i) the Licensed Patents; (ii) the X4 Trademark; and (iii) all other intellectual property rights, license rights, data and documentation relating to the Licensed Product that are licensed to Licensee under this Agreement, in each case free from encumbrances, other than Permitted Encumbrances;</w:t>
      </w:r>
    </w:p>
    <w:p>
      <w:pPr>
        <w:spacing w:after="0" w:line="175"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7"/>
          <w:szCs w:val="17"/>
          <w:color w:val="auto"/>
        </w:rPr>
        <w:t>all of the Licensed IP is owned by an entity that is tax resident in the United States;</w:t>
      </w:r>
    </w:p>
    <w:p>
      <w:pPr>
        <w:spacing w:after="0" w:line="217" w:lineRule="exact"/>
        <w:rPr>
          <w:sz w:val="20"/>
          <w:szCs w:val="20"/>
          <w:color w:val="auto"/>
        </w:rPr>
      </w:pPr>
    </w:p>
    <w:p>
      <w:pPr>
        <w:jc w:val="both"/>
        <w:ind w:left="1280" w:hanging="635"/>
        <w:spacing w:after="0" w:line="249" w:lineRule="auto"/>
        <w:tabs>
          <w:tab w:leader="none" w:pos="1260" w:val="left"/>
        </w:tabs>
        <w:rPr>
          <w:sz w:val="20"/>
          <w:szCs w:val="20"/>
          <w:color w:val="auto"/>
        </w:rPr>
      </w:pPr>
      <w:r>
        <w:rPr>
          <w:rFonts w:ascii="Arial" w:cs="Arial" w:eastAsia="Arial" w:hAnsi="Arial"/>
          <w:sz w:val="18"/>
          <w:szCs w:val="18"/>
          <w:color w:val="auto"/>
        </w:rPr>
        <w:t>3.2.13</w:t>
        <w:tab/>
        <w:t>(i) to its knowledge, it has not, as of the Effective Date, misappropriated or infringed, and covenants and agrees that it will not misappropriate or infringe, any intellectual property of a Third Party in connection with the Licensed Product or the performance of its obligations under this Agreement; (ii) neither it nor its Affiliates have received any written notice, or, to the knowledge of such Party, oral notice, of any claim that any Patent, trademark or know-how (including any trade secret right) Controlled by a Third Party would be infringed, misappropriated or otherwise violated by the performance of the activities hereunder or by the commercialization of the Licensed Product in the Territory in accordance with this Agreement; (iii) to its knowledge, no Patent, trademark or know-how Controlled by a Third Party is necessary for the commercialization of the Licensed Product in accordance with this Agreement;</w:t>
      </w:r>
    </w:p>
    <w:p>
      <w:pPr>
        <w:spacing w:after="0" w:line="190"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3.2.14</w:t>
        <w:tab/>
        <w:t>the Licensed Product supplied to Licensee under this Agreement shall be manufactured in accordance with the Specifications and GMP;</w:t>
      </w:r>
    </w:p>
    <w:p>
      <w:pPr>
        <w:spacing w:after="0" w:line="163"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3.2.15</w:t>
        <w:tab/>
        <w:t>as of the Effective Date neither X4, nor to its knowledge any contract manufacturing organization from which X4 procures current supply of Licensed Product, has received any warning letters or other adverse findings relating to the manufacture of the Licensed Product or which could adversely impact the Licensed Product; and</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3.2.16</w:t>
        <w:tab/>
        <w:t>as of the Effective Date it has, and will have throughout the Initial Term and any Subsequent Term, the required expertise, permits and approvals to perform its obligations under the Agreement in a timely and professional manner.</w:t>
      </w:r>
    </w:p>
    <w:p>
      <w:pPr>
        <w:spacing w:after="0" w:line="163" w:lineRule="exact"/>
        <w:rPr>
          <w:sz w:val="20"/>
          <w:szCs w:val="20"/>
          <w:color w:val="auto"/>
        </w:rPr>
      </w:pPr>
    </w:p>
    <w:p>
      <w:pPr>
        <w:jc w:val="both"/>
        <w:ind w:left="480" w:hanging="635"/>
        <w:spacing w:after="0" w:line="255" w:lineRule="auto"/>
        <w:tabs>
          <w:tab w:leader="none" w:pos="4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of Licensee and X4 contained herein or made pursuant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hereto (other than any representation or warranty expressed to be given as at the Effective Date) shall be ongoing during the Initial Term and any Subsequent Term. In the event of any breach of the representations and warranties set forth herein, the applicable Party shall notify the other Party of such breach in writing as soon as is reasonably practicable.</w:t>
      </w:r>
    </w:p>
    <w:p>
      <w:pPr>
        <w:spacing w:after="0" w:line="180" w:lineRule="exact"/>
        <w:rPr>
          <w:sz w:val="20"/>
          <w:szCs w:val="20"/>
          <w:color w:val="auto"/>
        </w:rPr>
      </w:pPr>
    </w:p>
    <w:p>
      <w:pPr>
        <w:jc w:val="both"/>
        <w:ind w:left="480" w:hanging="635"/>
        <w:spacing w:after="0" w:line="304" w:lineRule="auto"/>
        <w:tabs>
          <w:tab w:leader="none" w:pos="4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Data Room</w:t>
      </w:r>
      <w:r>
        <w:rPr>
          <w:rFonts w:ascii="Arial" w:cs="Arial" w:eastAsia="Arial" w:hAnsi="Arial"/>
          <w:sz w:val="17"/>
          <w:szCs w:val="17"/>
          <w:color w:val="auto"/>
        </w:rPr>
        <w:t>. X4 shall leave the electronic data room named [***}and hosted by OneHub available to Licensee for a thirty (30) day period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following the Effective Date to enable Licensee to download its contents. Such content is subject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 Information</w:t>
      </w:r>
      <w:r>
        <w:rPr>
          <w:rFonts w:ascii="Arial" w:cs="Arial" w:eastAsia="Arial" w:hAnsi="Arial"/>
          <w:sz w:val="17"/>
          <w:szCs w:val="17"/>
          <w:color w:val="auto"/>
        </w:rPr>
        <w:t>).</w:t>
      </w:r>
    </w:p>
    <w:p>
      <w:pPr>
        <w:spacing w:after="0" w:line="141" w:lineRule="exact"/>
        <w:rPr>
          <w:sz w:val="20"/>
          <w:szCs w:val="20"/>
          <w:color w:val="auto"/>
        </w:rPr>
      </w:pPr>
    </w:p>
    <w:p>
      <w:pPr>
        <w:jc w:val="both"/>
        <w:ind w:left="440" w:hanging="635"/>
        <w:spacing w:after="0" w:line="253" w:lineRule="auto"/>
        <w:tabs>
          <w:tab w:leader="none" w:pos="4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Non-Compete</w:t>
      </w:r>
      <w:r>
        <w:rPr>
          <w:rFonts w:ascii="Arial" w:cs="Arial" w:eastAsia="Arial" w:hAnsi="Arial"/>
          <w:sz w:val="18"/>
          <w:szCs w:val="18"/>
          <w:color w:val="auto"/>
        </w:rPr>
        <w:t>. During the Initial Term, neither Party shall, and shall cause its Affiliates not to, commercialize any Competing Product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Territory. Each of the Parties hereto recognizes that the restrictions contained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are required for the protection of the other Party’s interests hereunder, and agree that if any provision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is determined by any court to be unenforceable by reason of its extending for too great a period of time or over too great a geographic area, or by reason of it being too extensive in any other respect, such covenant shall be interpreted to extend only for the longest period of time and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7134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95" w:right="339" w:bottom="1440" w:gutter="0" w:footer="0" w:header="0"/>
        </w:sectPr>
      </w:pPr>
    </w:p>
    <w:bookmarkStart w:id="138" w:name="page139"/>
    <w:bookmarkEnd w:id="138"/>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8">
                      <a:extLst>
                        <a:ext uri="{28A0092B-C50C-407E-A947-70E740481C1C}"/>
                      </a:extLst>
                    </a:blip>
                    <a:srcRect/>
                    <a:stretch>
                      <a:fillRect/>
                    </a:stretch>
                  </pic:blipFill>
                  <pic:spPr bwMode="auto">
                    <a:xfrm>
                      <a:off x="0" y="0"/>
                      <a:ext cx="7134860" cy="8255"/>
                    </a:xfrm>
                    <a:prstGeom prst="rect">
                      <a:avLst/>
                    </a:prstGeom>
                    <a:noFill/>
                  </pic:spPr>
                </pic:pic>
              </a:graphicData>
            </a:graphic>
          </wp:anchor>
        </w:drawing>
        <w:t>greatest geographic area, and to otherwise have the broadest application as shall be enforceable under Applicable Law.</w:t>
      </w:r>
    </w:p>
    <w:p>
      <w:pPr>
        <w:spacing w:after="0" w:line="215" w:lineRule="exact"/>
        <w:rPr>
          <w:sz w:val="20"/>
          <w:szCs w:val="20"/>
          <w:color w:val="auto"/>
        </w:rPr>
      </w:pPr>
    </w:p>
    <w:p>
      <w:pPr>
        <w:ind w:left="340" w:hanging="334"/>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SUPPLY, ESTIMATES, ORDERS &amp; DELIVERY</w:t>
      </w:r>
    </w:p>
    <w:p>
      <w:pPr>
        <w:spacing w:after="0" w:line="219" w:lineRule="exact"/>
        <w:rPr>
          <w:sz w:val="20"/>
          <w:szCs w:val="20"/>
          <w:color w:val="auto"/>
        </w:rPr>
      </w:pPr>
    </w:p>
    <w:p>
      <w:pPr>
        <w:jc w:val="both"/>
        <w:ind w:left="600" w:hanging="635"/>
        <w:spacing w:after="0" w:line="251" w:lineRule="auto"/>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Supply and Purchases of Licensed Product</w:t>
      </w:r>
      <w:r>
        <w:rPr>
          <w:rFonts w:ascii="Arial" w:cs="Arial" w:eastAsia="Arial" w:hAnsi="Arial"/>
          <w:sz w:val="18"/>
          <w:szCs w:val="18"/>
          <w:color w:val="auto"/>
        </w:rPr>
        <w:t>. X4 hereby agrees, during the Term, to sell the Licensed Product (as “brite stock”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8.5.1</w:t>
      </w:r>
      <w:r>
        <w:rPr>
          <w:rFonts w:ascii="Arial" w:cs="Arial" w:eastAsia="Arial" w:hAnsi="Arial"/>
          <w:sz w:val="18"/>
          <w:szCs w:val="18"/>
          <w:color w:val="auto"/>
        </w:rPr>
        <w:t xml:space="preserve">) to Licensee, or a designated Affiliate of Licensee, subject to the terms of this Agreement and Licensee hereby agrees to purchase, during the Term, all its requirements of the Licensed Product exclusively from X4, or a designated Affiliate of X4, subject to </w:t>
      </w:r>
      <w:r>
        <w:rPr>
          <w:rFonts w:ascii="Arial" w:cs="Arial" w:eastAsia="Arial" w:hAnsi="Arial"/>
          <w:sz w:val="18"/>
          <w:szCs w:val="18"/>
          <w:u w:val="single" w:color="auto"/>
          <w:color w:val="auto"/>
        </w:rPr>
        <w:t>Section 4.2</w:t>
      </w:r>
      <w:r>
        <w:rPr>
          <w:rFonts w:ascii="Arial" w:cs="Arial" w:eastAsia="Arial" w:hAnsi="Arial"/>
          <w:sz w:val="18"/>
          <w:szCs w:val="18"/>
          <w:color w:val="auto"/>
        </w:rPr>
        <w:t>. Licensee and X4 shall in good faith discuss and negotiate an amendment to this Agreement setting forth their respective additional duties and obligations relating to the manufacturing, supply and distribution of the Licensed Product under this Agreement within [***]days of the Effective Date.</w:t>
      </w:r>
    </w:p>
    <w:p>
      <w:pPr>
        <w:spacing w:after="0" w:line="185" w:lineRule="exact"/>
        <w:rPr>
          <w:sz w:val="20"/>
          <w:szCs w:val="20"/>
          <w:color w:val="auto"/>
        </w:rPr>
      </w:pPr>
    </w:p>
    <w:p>
      <w:pPr>
        <w:jc w:val="both"/>
        <w:ind w:left="440" w:hanging="635"/>
        <w:spacing w:after="0" w:line="248" w:lineRule="auto"/>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Failure to Supply</w:t>
      </w:r>
      <w:r>
        <w:rPr>
          <w:rFonts w:ascii="Arial" w:cs="Arial" w:eastAsia="Arial" w:hAnsi="Arial"/>
          <w:sz w:val="18"/>
          <w:szCs w:val="18"/>
          <w:color w:val="auto"/>
        </w:rPr>
        <w:t>. If, at any time during the Term, X4 either (i) fails to deliver the quantities of Licensed Product set forth in the then-current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Binding Forecast; or (ii) notifies Licensee that it will be unable to deliver such quantities in accordance with the applicable timelines, and such failure is reasonably likely to result in an inability to supply patients with Licensed Product based on the most recent Rolling Forecast, Licensee shall have the right to request to participate directly in three-way discussions with the applicable Third Party manufacturer to facilitate X4’s exercise of its rights under its agreement with the applicable Third Party manufacturer, which X4 shall use Commercially Reasonable Efforts to schedule as soon as practicable after such request. If this does not resolve the situation to Licensee’s reasonable satisfaction within fifteen (15) Working Days of Licensee’s request, Licensee may submit written notice thereof to X4 and X4 will cooperate and reasonably assist in Licensee’s efforts to (a) exercise X4’s rights under its agreement with the applicable Third Party manufacturer; (b) negotiate a separate agreement with such Third Party manufacturer; or (c) at Licensee’s cost, engage and qualify an alternative Third Party to manufacture and supply the Licensed Product to Licensee, following which Licensee shall have the right to procure supplies of the Licensed Product directly from such Third Party manufacturer for the duration of X4’s inability or anticipated inability to supply the quantities set forth in Licensee’s Binding Forecast.</w:t>
      </w:r>
    </w:p>
    <w:p>
      <w:pPr>
        <w:spacing w:after="0" w:line="18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Forecasts</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4.3.1</w:t>
        <w:tab/>
        <w:t>The JSC shall discuss and determine when the first forecast should be provided by Licensee, but in any event Licensee shall provide it no later than [***] months before the anticipated notification by the EMA of the first approval of a Marketing Authorization for WHIM syndrome.</w:t>
      </w:r>
    </w:p>
    <w:p>
      <w:pPr>
        <w:spacing w:after="0" w:line="175" w:lineRule="exact"/>
        <w:rPr>
          <w:sz w:val="20"/>
          <w:szCs w:val="20"/>
          <w:color w:val="auto"/>
        </w:rPr>
      </w:pPr>
    </w:p>
    <w:p>
      <w:pPr>
        <w:jc w:val="both"/>
        <w:ind w:left="1260" w:hanging="635"/>
        <w:spacing w:after="0" w:line="259" w:lineRule="auto"/>
        <w:tabs>
          <w:tab w:leader="none" w:pos="1240" w:val="left"/>
        </w:tabs>
        <w:rPr>
          <w:sz w:val="20"/>
          <w:szCs w:val="20"/>
          <w:color w:val="auto"/>
        </w:rPr>
      </w:pPr>
      <w:r>
        <w:rPr>
          <w:rFonts w:ascii="Arial" w:cs="Arial" w:eastAsia="Arial" w:hAnsi="Arial"/>
          <w:sz w:val="18"/>
          <w:szCs w:val="18"/>
          <w:color w:val="auto"/>
        </w:rPr>
        <w:t>4.3.2</w:t>
        <w:tab/>
        <w:t xml:space="preserve">The first forecast shall be provided on the timeline set forth in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and thereafter, no later than the [***] day of every Calendar Quarter following the first forecast, Licensee shall continue in good faith to provide to X4 an [***] Calendar Quarter ([***] months) rolling forecast of Licensee's estimated requirements of the Licensed Product for the Territory (such [***] Calendar Quarter rolling forecast (including the first forecast in </w:t>
      </w:r>
      <w:r>
        <w:rPr>
          <w:rFonts w:ascii="Arial" w:cs="Arial" w:eastAsia="Arial" w:hAnsi="Arial"/>
          <w:sz w:val="18"/>
          <w:szCs w:val="18"/>
          <w:u w:val="single" w:color="auto"/>
          <w:color w:val="auto"/>
        </w:rPr>
        <w:t>Section 4.3.1</w:t>
      </w:r>
      <w:r>
        <w:rPr>
          <w:rFonts w:ascii="Arial" w:cs="Arial" w:eastAsia="Arial" w:hAnsi="Arial"/>
          <w:sz w:val="18"/>
          <w:szCs w:val="18"/>
          <w:color w:val="auto"/>
        </w:rPr>
        <w:t>), the "</w:t>
      </w:r>
      <w:r>
        <w:rPr>
          <w:rFonts w:ascii="Arial" w:cs="Arial" w:eastAsia="Arial" w:hAnsi="Arial"/>
          <w:sz w:val="18"/>
          <w:szCs w:val="18"/>
          <w:b w:val="1"/>
          <w:bCs w:val="1"/>
          <w:color w:val="auto"/>
        </w:rPr>
        <w:t>Rolling Forecast</w:t>
      </w:r>
      <w:r>
        <w:rPr>
          <w:rFonts w:ascii="Arial" w:cs="Arial" w:eastAsia="Arial" w:hAnsi="Arial"/>
          <w:sz w:val="18"/>
          <w:szCs w:val="18"/>
          <w:color w:val="auto"/>
        </w:rPr>
        <w:t>"). The first [***] months of the Rolling Forecast will be considered binding, both as regards quantities and timing, (such [***] months, the “</w:t>
      </w:r>
      <w:r>
        <w:rPr>
          <w:rFonts w:ascii="Arial" w:cs="Arial" w:eastAsia="Arial" w:hAnsi="Arial"/>
          <w:sz w:val="18"/>
          <w:szCs w:val="18"/>
          <w:b w:val="1"/>
          <w:bCs w:val="1"/>
          <w:color w:val="auto"/>
        </w:rPr>
        <w:t>Binding Forecast</w:t>
      </w:r>
      <w:r>
        <w:rPr>
          <w:rFonts w:ascii="Arial" w:cs="Arial" w:eastAsia="Arial" w:hAnsi="Arial"/>
          <w:sz w:val="18"/>
          <w:szCs w:val="18"/>
          <w:color w:val="auto"/>
        </w:rPr>
        <w:t>”, and the remaining [***] months, the “</w:t>
      </w:r>
      <w:r>
        <w:rPr>
          <w:rFonts w:ascii="Arial" w:cs="Arial" w:eastAsia="Arial" w:hAnsi="Arial"/>
          <w:sz w:val="18"/>
          <w:szCs w:val="18"/>
          <w:b w:val="1"/>
          <w:bCs w:val="1"/>
          <w:color w:val="auto"/>
        </w:rPr>
        <w:t>Non-Binding Forecast</w:t>
      </w:r>
      <w:r>
        <w:rPr>
          <w:rFonts w:ascii="Arial" w:cs="Arial" w:eastAsia="Arial" w:hAnsi="Arial"/>
          <w:sz w:val="18"/>
          <w:szCs w:val="18"/>
          <w:color w:val="auto"/>
        </w:rPr>
        <w:t>”) and hence will represent Licensee’s binding ordering quantities and timing for that [***] month period. This ordering and forecasting procedure will apply on a rolling basis. The initial [***] months of the Rolling Forecast shall be the [***] months immediately following the month that the forecast was delivered. The first [***] months of a newly submitted Binding Forecast shall be the same as the last [***] months of the prior Binding Forecast. The second [***] months of a newly submitted Binding Forecast may not deviate by greater than [***] or less than [***] on a monthly basis from the amount forecast by Licensee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394335</wp:posOffset>
            </wp:positionV>
            <wp:extent cx="7134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95" w:right="339" w:bottom="1440" w:gutter="0" w:footer="0" w:header="0"/>
        </w:sectPr>
      </w:pPr>
    </w:p>
    <w:bookmarkStart w:id="139" w:name="page140"/>
    <w:bookmarkEnd w:id="139"/>
    <w:p>
      <w:pPr>
        <w:jc w:val="both"/>
        <w:ind w:left="12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0">
                      <a:extLst>
                        <a:ext uri="{28A0092B-C50C-407E-A947-70E740481C1C}"/>
                      </a:extLst>
                    </a:blip>
                    <a:srcRect/>
                    <a:stretch>
                      <a:fillRect/>
                    </a:stretch>
                  </pic:blipFill>
                  <pic:spPr bwMode="auto">
                    <a:xfrm>
                      <a:off x="0" y="0"/>
                      <a:ext cx="7134860" cy="8255"/>
                    </a:xfrm>
                    <a:prstGeom prst="rect">
                      <a:avLst/>
                    </a:prstGeom>
                    <a:noFill/>
                  </pic:spPr>
                </pic:pic>
              </a:graphicData>
            </a:graphic>
          </wp:anchor>
        </w:drawing>
        <w:t>corresponding calendar months in its last Non-Binding Forecast. The first [***] months of each newly submitted Non-Binding Forecast may not deviate by greater than [***] or less than [***] in aggregate from the amount forecast by Licensee for the corresponding calendar period in its last Non-Binding Forecast. By way of example, in a newly submitted Rolling Forecast starting on 1 January, the forecast sums for the first [***] months i.e. [***] through [***] will, in aggregate, be the same as the forecast sums for [***] through [***] of the prior Binding Forecast; the binding forecast sums for [***] through [***] of the newly submitted Binding Forecast may not deviate by greater than [***] or less than [***] in aggregate from the non-binding forecast amount for [***] through [***] in the previous Rolling Forecast; the non-binding forecast sums for [***] through [***] of the newly submitted Rolling Forecast may not deviate by greater than [***] or less than the [***]in aggregate from the non-binding forecast amount for [***] through [***] of that year in the previous Rolling Forecast. Notwithstanding any contrary provision hereunder, X4 shall not be obliged to supply to Licensee quantity of Licensed Product higher than the demand within each submitted Binding Forecast; provided, however, that X4 will act in good faith and use Commercially Reasonable Efforts to fulfil any request from Licensee for increased demand beyond the Binding Forecast amount. If X4 believes that it cannot meet the Rolling Forecast it shall notify Licensee within [***] Working Days of receipt of the relevant Rolling Forecast detailing specific concerns, and/or providing alternative quantities and/or timing, and the Parties shall promptly meet to discuss a resolution in good faith.</w:t>
      </w:r>
    </w:p>
    <w:p>
      <w:pPr>
        <w:spacing w:after="0" w:line="175" w:lineRule="exact"/>
        <w:rPr>
          <w:sz w:val="20"/>
          <w:szCs w:val="20"/>
          <w:color w:val="auto"/>
        </w:rPr>
      </w:pPr>
    </w:p>
    <w:p>
      <w:pPr>
        <w:jc w:val="both"/>
        <w:ind w:left="1240" w:hanging="635"/>
        <w:spacing w:after="0" w:line="255" w:lineRule="auto"/>
        <w:tabs>
          <w:tab w:leader="none" w:pos="1220" w:val="left"/>
        </w:tabs>
        <w:rPr>
          <w:sz w:val="20"/>
          <w:szCs w:val="20"/>
          <w:color w:val="auto"/>
        </w:rPr>
      </w:pPr>
      <w:r>
        <w:rPr>
          <w:rFonts w:ascii="Arial" w:cs="Arial" w:eastAsia="Arial" w:hAnsi="Arial"/>
          <w:sz w:val="18"/>
          <w:szCs w:val="18"/>
          <w:color w:val="auto"/>
        </w:rPr>
        <w:t>4.3.3</w:t>
        <w:tab/>
        <w:t>Licensee shall have the right to amend any part of a Rolling Forecast (and amend or cancel any firm order placed in accordance with such Rolling Forecast) to the extent required as a result of (i) any action taken by the Relevant Regulatory Authority which impacts the sale of Licensed Product in the Territory; or (ii) Licensed Product being discontinued or withdrawn from the market for safety, quality or regulatory reasons.</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Orders and Invoicing</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4.4.1</w:t>
        <w:tab/>
        <w:t>Licensee shall place firm orders for the Licensed Product required for the Territory in accordance with the Binding Forecast, specifying delivery date(s), which delivery date(s) shall be at least [***]days from the date of such firm order. X4 shall, within</w:t>
      </w:r>
    </w:p>
    <w:p>
      <w:pPr>
        <w:ind w:left="1280" w:hanging="2"/>
        <w:spacing w:after="0" w:line="256" w:lineRule="auto"/>
        <w:tabs>
          <w:tab w:leader="none" w:pos="16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weeks of the specified delivery date(s), procure the production of the quantities of Licensed Product set forth in each such firm order and make such quantities available for collection by Licensee.</w:t>
      </w:r>
    </w:p>
    <w:p>
      <w:pPr>
        <w:spacing w:after="0" w:line="178" w:lineRule="exact"/>
        <w:rPr>
          <w:sz w:val="20"/>
          <w:szCs w:val="20"/>
          <w:color w:val="auto"/>
        </w:rPr>
      </w:pPr>
    </w:p>
    <w:p>
      <w:pPr>
        <w:jc w:val="both"/>
        <w:ind w:left="1240" w:hanging="635"/>
        <w:spacing w:after="0" w:line="249" w:lineRule="auto"/>
        <w:tabs>
          <w:tab w:leader="none" w:pos="1220" w:val="left"/>
        </w:tabs>
        <w:rPr>
          <w:sz w:val="20"/>
          <w:szCs w:val="20"/>
          <w:color w:val="auto"/>
        </w:rPr>
      </w:pPr>
      <w:r>
        <w:rPr>
          <w:rFonts w:ascii="Arial" w:cs="Arial" w:eastAsia="Arial" w:hAnsi="Arial"/>
          <w:sz w:val="18"/>
          <w:szCs w:val="18"/>
          <w:color w:val="auto"/>
        </w:rPr>
        <w:t>4.4.2</w:t>
        <w:tab/>
        <w:t xml:space="preserve">X4 shall invoice Licensee for Licensed Product, at the end of each Calendar Quarter, the Transfer Price for (i) the full quantity of Licensed Product ordered by Licensee in accordance with </w:t>
      </w:r>
      <w:r>
        <w:rPr>
          <w:rFonts w:ascii="Arial" w:cs="Arial" w:eastAsia="Arial" w:hAnsi="Arial"/>
          <w:sz w:val="18"/>
          <w:szCs w:val="18"/>
          <w:u w:val="single" w:color="auto"/>
          <w:color w:val="auto"/>
        </w:rPr>
        <w:t>Section 4.4.1</w:t>
      </w:r>
      <w:r>
        <w:rPr>
          <w:rFonts w:ascii="Arial" w:cs="Arial" w:eastAsia="Arial" w:hAnsi="Arial"/>
          <w:sz w:val="18"/>
          <w:szCs w:val="18"/>
          <w:color w:val="auto"/>
        </w:rPr>
        <w:t xml:space="preserve"> and delivered by or on behalf of X4 in accordance with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(ii) if Licensee does not place firm orders for the corresponding quantities of Licensed Product specified in the Binding Forecast for such Calendar Quarter, the Transfer Price for any shortfall of Licensed Product below such quantities set out in the Binding Forecast for such Calendar Quarter; provided further, however, that if X4 has agreed to supply a quantity of Licensed Product for such Calendar Quarter in excess of the Binding Forecast, X4 shall invoice for the amount of Licensed Product actually ordered for, and delivered by or on behalf of X4 in accordance with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in, such Calendar Quarter.</w:t>
      </w:r>
    </w:p>
    <w:p>
      <w:pPr>
        <w:spacing w:after="0" w:line="190" w:lineRule="exact"/>
        <w:rPr>
          <w:sz w:val="20"/>
          <w:szCs w:val="20"/>
          <w:color w:val="auto"/>
        </w:rPr>
      </w:pPr>
    </w:p>
    <w:p>
      <w:pPr>
        <w:jc w:val="both"/>
        <w:ind w:left="1260" w:hanging="635"/>
        <w:spacing w:after="0" w:line="274" w:lineRule="auto"/>
        <w:tabs>
          <w:tab w:leader="none" w:pos="1240" w:val="left"/>
        </w:tabs>
        <w:rPr>
          <w:sz w:val="20"/>
          <w:szCs w:val="20"/>
          <w:color w:val="auto"/>
        </w:rPr>
      </w:pPr>
      <w:r>
        <w:rPr>
          <w:rFonts w:ascii="Arial" w:cs="Arial" w:eastAsia="Arial" w:hAnsi="Arial"/>
          <w:sz w:val="18"/>
          <w:szCs w:val="18"/>
          <w:color w:val="auto"/>
        </w:rPr>
        <w:t>4.4.3</w:t>
        <w:tab/>
        <w:t>All sales and use taxes which X4 is required by Applicable Law to collect from Licensee with respect to the supply of Licensed Product shall be paid by Licensee to X4 unless Licensee provides a valid exemption to X4.</w:t>
      </w:r>
    </w:p>
    <w:p>
      <w:pPr>
        <w:spacing w:after="0" w:line="16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auto"/>
        </w:rPr>
        <w:t>Delivery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417830</wp:posOffset>
            </wp:positionV>
            <wp:extent cx="7134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95" w:right="339" w:bottom="1440" w:gutter="0" w:footer="0" w:header="0"/>
        </w:sectPr>
      </w:pPr>
    </w:p>
    <w:bookmarkStart w:id="140" w:name="page141"/>
    <w:bookmarkEnd w:id="140"/>
    <w:p>
      <w:pPr>
        <w:jc w:val="both"/>
        <w:ind w:left="1280" w:hanging="635"/>
        <w:spacing w:after="0" w:line="266" w:lineRule="auto"/>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2">
                      <a:extLst>
                        <a:ext uri="{28A0092B-C50C-407E-A947-70E740481C1C}"/>
                      </a:extLst>
                    </a:blip>
                    <a:srcRect/>
                    <a:stretch>
                      <a:fillRect/>
                    </a:stretch>
                  </pic:blipFill>
                  <pic:spPr bwMode="auto">
                    <a:xfrm>
                      <a:off x="0" y="0"/>
                      <a:ext cx="7134860" cy="8255"/>
                    </a:xfrm>
                    <a:prstGeom prst="rect">
                      <a:avLst/>
                    </a:prstGeom>
                    <a:noFill/>
                  </pic:spPr>
                </pic:pic>
              </a:graphicData>
            </a:graphic>
          </wp:anchor>
        </w:drawing>
        <w:t>4.5.1</w:t>
        <w:tab/>
        <w:t>Delivery of the Licensed Product to Licensee shall be [***] ([***], or such other facility as the Parties mutually agree) (ICC Incoterms 2020). Following notification to Licensee that the Licensed Product is available for collection (the “</w:t>
      </w:r>
      <w:r>
        <w:rPr>
          <w:rFonts w:ascii="Arial" w:cs="Arial" w:eastAsia="Arial" w:hAnsi="Arial"/>
          <w:sz w:val="18"/>
          <w:szCs w:val="18"/>
          <w:b w:val="1"/>
          <w:bCs w:val="1"/>
          <w:color w:val="auto"/>
        </w:rPr>
        <w:t>Delivery</w:t>
      </w:r>
      <w:r>
        <w:rPr>
          <w:rFonts w:ascii="Arial" w:cs="Arial" w:eastAsia="Arial" w:hAnsi="Arial"/>
          <w:sz w:val="18"/>
          <w:szCs w:val="18"/>
          <w:color w:val="auto"/>
        </w:rPr>
        <w:t xml:space="preserve"> </w:t>
      </w:r>
      <w:r>
        <w:rPr>
          <w:rFonts w:ascii="Arial" w:cs="Arial" w:eastAsia="Arial" w:hAnsi="Arial"/>
          <w:sz w:val="18"/>
          <w:szCs w:val="18"/>
          <w:b w:val="1"/>
          <w:bCs w:val="1"/>
          <w:color w:val="auto"/>
        </w:rPr>
        <w:t>Notification</w:t>
      </w:r>
      <w:r>
        <w:rPr>
          <w:rFonts w:ascii="Arial" w:cs="Arial" w:eastAsia="Arial" w:hAnsi="Arial"/>
          <w:sz w:val="18"/>
          <w:szCs w:val="18"/>
          <w:color w:val="auto"/>
        </w:rPr>
        <w:t>”), Licensee shall collect such Licensed Product within [***] Working Days.</w:t>
      </w:r>
    </w:p>
    <w:p>
      <w:pPr>
        <w:spacing w:after="0" w:line="160" w:lineRule="exact"/>
        <w:rPr>
          <w:sz w:val="20"/>
          <w:szCs w:val="20"/>
          <w:color w:val="auto"/>
        </w:rPr>
      </w:pPr>
    </w:p>
    <w:p>
      <w:pPr>
        <w:jc w:val="both"/>
        <w:ind w:left="1260" w:hanging="635"/>
        <w:spacing w:after="0" w:line="274" w:lineRule="auto"/>
        <w:tabs>
          <w:tab w:leader="none" w:pos="1240" w:val="left"/>
        </w:tabs>
        <w:rPr>
          <w:sz w:val="20"/>
          <w:szCs w:val="20"/>
          <w:color w:val="auto"/>
        </w:rPr>
      </w:pPr>
      <w:r>
        <w:rPr>
          <w:rFonts w:ascii="Arial" w:cs="Arial" w:eastAsia="Arial" w:hAnsi="Arial"/>
          <w:sz w:val="18"/>
          <w:szCs w:val="18"/>
          <w:color w:val="auto"/>
        </w:rPr>
        <w:t>4.5.2</w:t>
        <w:tab/>
        <w:t xml:space="preserve">Title and risk of loss to the Licensed Product shall pass to Licensee upon the earlier of (i) collection and (ii) [***] Working Days after the Delivery Notification in accordance with </w:t>
      </w:r>
      <w:r>
        <w:rPr>
          <w:rFonts w:ascii="Arial" w:cs="Arial" w:eastAsia="Arial" w:hAnsi="Arial"/>
          <w:sz w:val="18"/>
          <w:szCs w:val="18"/>
          <w:u w:val="single" w:color="auto"/>
          <w:color w:val="auto"/>
        </w:rPr>
        <w:t>Section 4.5.1</w:t>
      </w:r>
      <w:r>
        <w:rPr>
          <w:rFonts w:ascii="Arial" w:cs="Arial" w:eastAsia="Arial" w:hAnsi="Arial"/>
          <w:sz w:val="18"/>
          <w:szCs w:val="18"/>
          <w:color w:val="auto"/>
        </w:rPr>
        <w:t>.</w:t>
      </w:r>
    </w:p>
    <w:p>
      <w:pPr>
        <w:spacing w:after="0" w:line="163"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4.5.3</w:t>
        <w:tab/>
        <w:t>Licensed Products provided for commercial use shall on the date of the applicable Delivery Notification have a minimum remaining shelf life of [***] (whichever is longer) of their total shelf life. The Parties shall discuss from time to time through the JSC (i) the shelf life for Licensed Products for use in early access programs; and (ii) additional stability studies or data that may be required or desirable to extend the shelf-life of the Licensed Products.</w:t>
      </w:r>
    </w:p>
    <w:p>
      <w:pPr>
        <w:spacing w:after="0" w:line="180" w:lineRule="exact"/>
        <w:rPr>
          <w:sz w:val="20"/>
          <w:szCs w:val="20"/>
          <w:color w:val="auto"/>
        </w:rPr>
      </w:pPr>
    </w:p>
    <w:p>
      <w:pPr>
        <w:jc w:val="both"/>
        <w:ind w:left="1260" w:hanging="635"/>
        <w:spacing w:after="0" w:line="271" w:lineRule="auto"/>
        <w:tabs>
          <w:tab w:leader="none" w:pos="124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7"/>
          <w:szCs w:val="17"/>
          <w:color w:val="auto"/>
        </w:rPr>
        <w:t xml:space="preserve">The delivery by X4 of a quantity of Licensed Product that is within plus or minus [***] of the amount specified in Licensee’s firm order shall constitute compliance with X4’s delivery obligations. X4 must use best efforts to procure a Delivery Notification for Licensed Product that is within [***] Working Days of the delivery date specified on the order where the delivery date specified is equal or greater than the lead time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or if the delivery date specified on the order is less than such lead time, a delivery date agreed by the Parties, in writing (including by electronic mail and direct electronic link).</w:t>
      </w:r>
    </w:p>
    <w:p>
      <w:pPr>
        <w:spacing w:after="0" w:line="168" w:lineRule="exact"/>
        <w:rPr>
          <w:sz w:val="20"/>
          <w:szCs w:val="20"/>
          <w:color w:val="auto"/>
        </w:rPr>
      </w:pPr>
    </w:p>
    <w:p>
      <w:pPr>
        <w:jc w:val="both"/>
        <w:ind w:left="460" w:hanging="635"/>
        <w:spacing w:after="0" w:line="260" w:lineRule="auto"/>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u w:val="single" w:color="auto"/>
          <w:color w:val="auto"/>
        </w:rPr>
        <w:t>Sales Tar</w:t>
      </w:r>
      <w:r>
        <w:rPr>
          <w:rFonts w:ascii="Arial" w:cs="Arial" w:eastAsia="Arial" w:hAnsi="Arial"/>
          <w:sz w:val="18"/>
          <w:szCs w:val="18"/>
          <w:color w:val="auto"/>
        </w:rPr>
        <w:t>g</w:t>
      </w:r>
      <w:r>
        <w:rPr>
          <w:rFonts w:ascii="Arial" w:cs="Arial" w:eastAsia="Arial" w:hAnsi="Arial"/>
          <w:sz w:val="18"/>
          <w:szCs w:val="18"/>
          <w:u w:val="single" w:color="auto"/>
          <w:color w:val="auto"/>
        </w:rPr>
        <w:t>ets Discussion</w:t>
      </w:r>
      <w:r>
        <w:rPr>
          <w:rFonts w:ascii="Arial" w:cs="Arial" w:eastAsia="Arial" w:hAnsi="Arial"/>
          <w:sz w:val="18"/>
          <w:szCs w:val="18"/>
          <w:color w:val="auto"/>
        </w:rPr>
        <w:t>. One JSC meeting each year (as referred to in</w:t>
      </w:r>
      <w:r>
        <w:rPr>
          <w:rFonts w:ascii="Arial" w:cs="Arial" w:eastAsia="Arial" w:hAnsi="Arial"/>
          <w:sz w:val="18"/>
          <w:szCs w:val="18"/>
          <w:u w:val="single" w:color="auto"/>
          <w:color w:val="auto"/>
        </w:rPr>
        <w:t xml:space="preserve"> Section 11.3</w:t>
      </w:r>
      <w:r>
        <w:rPr>
          <w:rFonts w:ascii="Arial" w:cs="Arial" w:eastAsia="Arial" w:hAnsi="Arial"/>
          <w:sz w:val="18"/>
          <w:szCs w:val="18"/>
          <w:color w:val="auto"/>
        </w:rPr>
        <w:t>), during a month to be agreed between the Parties,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at least in part, be devoted to discussing performance against the Performance Plan, the current year's forecast and, based on the sales trends experienced and anticipated.</w:t>
      </w:r>
    </w:p>
    <w:p>
      <w:pPr>
        <w:spacing w:after="0" w:line="175" w:lineRule="exact"/>
        <w:rPr>
          <w:sz w:val="20"/>
          <w:szCs w:val="20"/>
          <w:color w:val="auto"/>
        </w:rPr>
      </w:pPr>
    </w:p>
    <w:p>
      <w:pPr>
        <w:jc w:val="both"/>
        <w:ind w:left="540" w:hanging="635"/>
        <w:spacing w:after="0" w:line="251" w:lineRule="auto"/>
        <w:tabs>
          <w:tab w:leader="none" w:pos="5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Shorta</w:t>
      </w:r>
      <w:r>
        <w:rPr>
          <w:rFonts w:ascii="Arial" w:cs="Arial" w:eastAsia="Arial" w:hAnsi="Arial"/>
          <w:sz w:val="18"/>
          <w:szCs w:val="18"/>
          <w:color w:val="auto"/>
        </w:rPr>
        <w:t>g</w:t>
      </w:r>
      <w:r>
        <w:rPr>
          <w:rFonts w:ascii="Arial" w:cs="Arial" w:eastAsia="Arial" w:hAnsi="Arial"/>
          <w:sz w:val="18"/>
          <w:szCs w:val="18"/>
          <w:u w:val="single" w:color="auto"/>
          <w:color w:val="auto"/>
        </w:rPr>
        <w:t>es Allocation</w:t>
      </w:r>
      <w:r>
        <w:rPr>
          <w:rFonts w:ascii="Arial" w:cs="Arial" w:eastAsia="Arial" w:hAnsi="Arial"/>
          <w:sz w:val="18"/>
          <w:szCs w:val="18"/>
          <w:color w:val="auto"/>
        </w:rPr>
        <w:t>. Notwithstanding</w:t>
      </w:r>
      <w:r>
        <w:rPr>
          <w:rFonts w:ascii="Arial" w:cs="Arial" w:eastAsia="Arial" w:hAnsi="Arial"/>
          <w:sz w:val="18"/>
          <w:szCs w:val="18"/>
          <w:u w:val="single" w:color="auto"/>
          <w:color w:val="auto"/>
        </w:rPr>
        <w:t xml:space="preserve"> Section 4.4</w:t>
      </w:r>
      <w:r>
        <w:rPr>
          <w:rFonts w:ascii="Arial" w:cs="Arial" w:eastAsia="Arial" w:hAnsi="Arial"/>
          <w:sz w:val="18"/>
          <w:szCs w:val="18"/>
          <w:color w:val="auto"/>
        </w:rPr>
        <w:t>, if X4 reasonably expects that it will be unable to deliver to Licensee quantities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Product in amounts sufficient to satisfy any firm order, X4 shall promptly (and in all cases within [***] Working Days of becoming aware of such expected shortage) notify Licensee of such expected shortage and the details relating thereto. In such instance X4 shall, to the extent some but not complete production is practicable, use its best efforts to allocate available Licensed Product, to supply current patients, amongst itself, other exclusive distributors and Licensee in proportion to the most recent forecasts submitted by X4, its exclusive distributors and Licensee to X4’s designated third-party contract manufacturer.</w:t>
      </w:r>
    </w:p>
    <w:p>
      <w:pPr>
        <w:spacing w:after="0" w:line="185" w:lineRule="exact"/>
        <w:rPr>
          <w:sz w:val="20"/>
          <w:szCs w:val="20"/>
          <w:color w:val="auto"/>
        </w:rPr>
      </w:pPr>
    </w:p>
    <w:p>
      <w:pPr>
        <w:jc w:val="both"/>
        <w:ind w:left="560" w:hanging="635"/>
        <w:spacing w:after="0" w:line="251" w:lineRule="auto"/>
        <w:tabs>
          <w:tab w:leader="none" w:pos="5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u w:val="single" w:color="auto"/>
          <w:color w:val="auto"/>
        </w:rPr>
        <w:t>Chan</w:t>
      </w:r>
      <w:r>
        <w:rPr>
          <w:rFonts w:ascii="Arial" w:cs="Arial" w:eastAsia="Arial" w:hAnsi="Arial"/>
          <w:sz w:val="18"/>
          <w:szCs w:val="18"/>
          <w:color w:val="auto"/>
        </w:rPr>
        <w:t>g</w:t>
      </w:r>
      <w:r>
        <w:rPr>
          <w:rFonts w:ascii="Arial" w:cs="Arial" w:eastAsia="Arial" w:hAnsi="Arial"/>
          <w:sz w:val="18"/>
          <w:szCs w:val="18"/>
          <w:u w:val="single" w:color="auto"/>
          <w:color w:val="auto"/>
        </w:rPr>
        <w:t>es to the Licensed Products</w:t>
      </w:r>
      <w:r>
        <w:rPr>
          <w:rFonts w:ascii="Arial" w:cs="Arial" w:eastAsia="Arial" w:hAnsi="Arial"/>
          <w:sz w:val="18"/>
          <w:szCs w:val="18"/>
          <w:color w:val="auto"/>
        </w:rPr>
        <w:t>. Any change to any of the constituents of any of the Licensed Product, source of constituents,</w:t>
      </w:r>
      <w:r>
        <w:rPr>
          <w:rFonts w:ascii="Arial" w:cs="Arial" w:eastAsia="Arial" w:hAnsi="Arial"/>
          <w:sz w:val="18"/>
          <w:szCs w:val="18"/>
          <w:u w:val="single" w:color="auto"/>
          <w:color w:val="auto"/>
        </w:rPr>
        <w:t xml:space="preserve"> </w:t>
      </w:r>
      <w:r>
        <w:rPr>
          <w:rFonts w:ascii="Arial" w:cs="Arial" w:eastAsia="Arial" w:hAnsi="Arial"/>
          <w:sz w:val="18"/>
          <w:szCs w:val="18"/>
          <w:color w:val="auto"/>
        </w:rPr>
        <w:t>Specifications, or manufacturing of the Licensed Product, change control management will be administered in accordance with the change control process set out in the Quality Agreement, provided that such changes shall only be made (i) by X4 (for clarity, X4 may not require changes to be made which would contravene Applicable Law in the Territory); (ii) as mutually agreed by the Parties; or (iii) to the extent required or by Applicable Law in the Territory. Unless otherwise agreed by the Parties, if any such changes to the Licensed Product are:</w:t>
      </w:r>
    </w:p>
    <w:p>
      <w:pPr>
        <w:spacing w:after="0" w:line="185" w:lineRule="exact"/>
        <w:rPr>
          <w:sz w:val="20"/>
          <w:szCs w:val="20"/>
          <w:color w:val="auto"/>
        </w:rPr>
      </w:pPr>
    </w:p>
    <w:p>
      <w:pPr>
        <w:jc w:val="center"/>
        <w:ind w:left="960"/>
        <w:spacing w:after="0" w:line="274" w:lineRule="auto"/>
        <w:rPr>
          <w:sz w:val="20"/>
          <w:szCs w:val="20"/>
          <w:color w:val="auto"/>
        </w:rPr>
      </w:pPr>
      <w:r>
        <w:rPr>
          <w:rFonts w:ascii="Arial" w:cs="Arial" w:eastAsia="Arial" w:hAnsi="Arial"/>
          <w:sz w:val="18"/>
          <w:szCs w:val="18"/>
          <w:color w:val="auto"/>
        </w:rPr>
        <w:t>4.8.1    required by X4 (including changes made by any of its contract manufacturing organizations), X4 shall bear the costs and expenses related to such change (including, without limitation, regulatory expenses and costs of wastage of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383540</wp:posOffset>
            </wp:positionV>
            <wp:extent cx="71348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95" w:right="339" w:bottom="1440" w:gutter="0" w:footer="0" w:header="0"/>
        </w:sectPr>
      </w:pPr>
    </w:p>
    <w:bookmarkStart w:id="141" w:name="page142"/>
    <w:bookmarkEnd w:id="141"/>
    <w:p>
      <w:pPr>
        <w:ind w:left="640"/>
        <w:spacing w:after="0"/>
        <w:tabs>
          <w:tab w:leader="none" w:pos="1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4">
                      <a:extLst>
                        <a:ext uri="{28A0092B-C50C-407E-A947-70E740481C1C}"/>
                      </a:extLst>
                    </a:blip>
                    <a:srcRect/>
                    <a:stretch>
                      <a:fillRect/>
                    </a:stretch>
                  </pic:blipFill>
                  <pic:spPr bwMode="auto">
                    <a:xfrm>
                      <a:off x="0" y="0"/>
                      <a:ext cx="7134860" cy="8255"/>
                    </a:xfrm>
                    <a:prstGeom prst="rect">
                      <a:avLst/>
                    </a:prstGeom>
                    <a:noFill/>
                  </pic:spPr>
                </pic:pic>
              </a:graphicData>
            </a:graphic>
          </wp:anchor>
        </w:drawing>
        <w:t>4.8.2</w:t>
      </w:r>
      <w:r>
        <w:rPr>
          <w:sz w:val="20"/>
          <w:szCs w:val="20"/>
          <w:color w:val="auto"/>
        </w:rPr>
        <w:tab/>
      </w:r>
      <w:r>
        <w:rPr>
          <w:rFonts w:ascii="Arial" w:cs="Arial" w:eastAsia="Arial" w:hAnsi="Arial"/>
          <w:sz w:val="17"/>
          <w:szCs w:val="17"/>
          <w:color w:val="auto"/>
        </w:rPr>
        <w:t>mutually agreed by the Parties, the Parties shall agree on the appropriate allocation of costs; or</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4.8.3</w:t>
        <w:tab/>
        <w:t>required by Applicable Law in the Territory Licensee shall summarize such changes at a JSC meeting, and if such changes relate solely to the Licensed Compound or Licensed Product (and not to the extent required as a result of changes or modifications to the facility of X4’s designated third-party contract manufacturer), Licensee shall bear the costs and expenses related to such change (including, without limitation, regulatory expenses and costs of wastage of Packaging).</w:t>
      </w:r>
    </w:p>
    <w:p>
      <w:pPr>
        <w:spacing w:after="0" w:line="180" w:lineRule="exact"/>
        <w:rPr>
          <w:sz w:val="20"/>
          <w:szCs w:val="20"/>
          <w:color w:val="auto"/>
        </w:rPr>
      </w:pPr>
    </w:p>
    <w:p>
      <w:pPr>
        <w:jc w:val="center"/>
        <w:spacing w:after="0" w:line="27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Site Visit</w:t>
      </w:r>
      <w:r>
        <w:rPr>
          <w:rFonts w:ascii="Arial" w:cs="Arial" w:eastAsia="Arial" w:hAnsi="Arial"/>
          <w:sz w:val="18"/>
          <w:szCs w:val="18"/>
          <w:color w:val="auto"/>
        </w:rPr>
        <w:t>. X4 shall request to *** that Licensee be permitted to conduct a site visit at *** facility located in ***, at a reasonable time and upon reasonable notice, and shall request that such visit takes place no more than three (3) months following the Effective Date.</w:t>
      </w:r>
    </w:p>
    <w:p>
      <w:pPr>
        <w:spacing w:after="0" w:line="161" w:lineRule="exact"/>
        <w:rPr>
          <w:sz w:val="20"/>
          <w:szCs w:val="20"/>
          <w:color w:val="auto"/>
        </w:rPr>
      </w:pPr>
    </w:p>
    <w:p>
      <w:pPr>
        <w:ind w:left="340" w:hanging="334"/>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CLINICAL STUDIES, GOVERNMENTAL APPROVALS, PHARMACOVIGILANCE, RECALL</w:t>
      </w:r>
    </w:p>
    <w:p>
      <w:pPr>
        <w:spacing w:after="0" w:line="219" w:lineRule="exact"/>
        <w:rPr>
          <w:sz w:val="20"/>
          <w:szCs w:val="20"/>
          <w:color w:val="auto"/>
        </w:rPr>
      </w:pPr>
    </w:p>
    <w:p>
      <w:pPr>
        <w:jc w:val="both"/>
        <w:ind w:left="460" w:hanging="635"/>
        <w:spacing w:after="0" w:line="304"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Clinical Studies</w:t>
      </w:r>
      <w:r>
        <w:rPr>
          <w:rFonts w:ascii="Arial" w:cs="Arial" w:eastAsia="Arial" w:hAnsi="Arial"/>
          <w:sz w:val="17"/>
          <w:szCs w:val="17"/>
          <w:color w:val="auto"/>
        </w:rPr>
        <w:t>. Notwithstanding anything else in this Agreement, unless otherwise agreed between the Parties, X4 and its Affiliates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have the sole right and responsibility for conducting Clinical Studies for Licensed Products in the Field in and outside of the Territory.</w:t>
      </w:r>
    </w:p>
    <w:p>
      <w:pPr>
        <w:spacing w:after="0" w:line="141" w:lineRule="exact"/>
        <w:rPr>
          <w:sz w:val="20"/>
          <w:szCs w:val="20"/>
          <w:color w:val="auto"/>
        </w:rPr>
      </w:pPr>
    </w:p>
    <w:p>
      <w:pPr>
        <w:jc w:val="both"/>
        <w:ind w:left="500" w:hanging="635"/>
        <w:spacing w:after="0" w:line="253" w:lineRule="auto"/>
        <w:tabs>
          <w:tab w:leader="none" w:pos="4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Medical Affairs</w:t>
      </w:r>
      <w:r>
        <w:rPr>
          <w:rFonts w:ascii="Arial" w:cs="Arial" w:eastAsia="Arial" w:hAnsi="Arial"/>
          <w:sz w:val="18"/>
          <w:szCs w:val="18"/>
          <w:color w:val="auto"/>
        </w:rPr>
        <w:t>. Licensee shall have the right to conduct Medical Affairs Activities in relation to the Licensed Product in the Field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Territory, including, for the avoidance of doubt, conducting investigator initiated studies, subject to approval of the JSC in accordance with </w:t>
      </w:r>
      <w:r>
        <w:rPr>
          <w:rFonts w:ascii="Arial" w:cs="Arial" w:eastAsia="Arial" w:hAnsi="Arial"/>
          <w:sz w:val="18"/>
          <w:szCs w:val="18"/>
          <w:u w:val="single" w:color="auto"/>
          <w:color w:val="auto"/>
        </w:rPr>
        <w:t>Section 11.1.14</w:t>
      </w:r>
      <w:r>
        <w:rPr>
          <w:rFonts w:ascii="Arial" w:cs="Arial" w:eastAsia="Arial" w:hAnsi="Arial"/>
          <w:sz w:val="18"/>
          <w:szCs w:val="18"/>
          <w:color w:val="auto"/>
        </w:rPr>
        <w:t>. Each Party shall provide the JSC (or an appropriate Subcommittee established thereunder) with an overview of its proposed publication strategy and key publications relating to the Licensed Product it intends to make over the forthcoming six (6) months.</w:t>
      </w:r>
    </w:p>
    <w:p>
      <w:pPr>
        <w:spacing w:after="0" w:line="181" w:lineRule="exact"/>
        <w:rPr>
          <w:sz w:val="20"/>
          <w:szCs w:val="20"/>
          <w:color w:val="auto"/>
        </w:rPr>
      </w:pPr>
    </w:p>
    <w:p>
      <w:pPr>
        <w:jc w:val="both"/>
        <w:ind w:left="540" w:hanging="635"/>
        <w:spacing w:after="0" w:line="249"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Regulatory Activities</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Section 5.4</w:t>
      </w:r>
      <w:r>
        <w:rPr>
          <w:rFonts w:ascii="Arial" w:cs="Arial" w:eastAsia="Arial" w:hAnsi="Arial"/>
          <w:sz w:val="18"/>
          <w:szCs w:val="18"/>
          <w:color w:val="auto"/>
        </w:rPr>
        <w:t>, unless otherwise agreed between the Parties, Licensee and its Affiliates shall be solely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responsible for all Regulatory Activities for the Licensed Products for the Field in the Territory, including obtaining and maintaining Marketing Authorizations for the Licensed Products for the Field in the Territory, using Information provided by X4. The JSC will be responsible for discussing an overall regulatory strategy for the Licensed Products in the Territory, and, unless otherwise agreed, Licensee will be responsible for day to day Regulatory Activities consistent with such regulatory strategy. Licensee will keep X4 reasonably informed of the conduct of Regulatory Activities in respect of the Licensed Products for the Field in the Territory through the JSC, including sharing with X4 all material risk-related communications with the Relevant Regulatory Authorities within [***] days of receiving them.</w:t>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Marketing Authorization for WHIM</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66" w:lineRule="auto"/>
        <w:tabs>
          <w:tab w:leader="none" w:pos="126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Within [***] days after the grant of a Marketing Authorization by the EMA for Licensed Product in WHIM syndrome, Licensee shall notify X4 in writing whether it wishes X4 to have the responsibility for preparing and submitting the pediatric investigation plan to the MHRA (the “</w:t>
      </w:r>
      <w:r>
        <w:rPr>
          <w:rFonts w:ascii="Arial" w:cs="Arial" w:eastAsia="Arial" w:hAnsi="Arial"/>
          <w:sz w:val="17"/>
          <w:szCs w:val="17"/>
          <w:b w:val="1"/>
          <w:bCs w:val="1"/>
          <w:color w:val="auto"/>
        </w:rPr>
        <w:t>UK PIP</w:t>
      </w:r>
      <w:r>
        <w:rPr>
          <w:rFonts w:ascii="Arial" w:cs="Arial" w:eastAsia="Arial" w:hAnsi="Arial"/>
          <w:sz w:val="17"/>
          <w:szCs w:val="17"/>
          <w:color w:val="auto"/>
        </w:rPr>
        <w:t xml:space="preserve">”) and an application to the MHRA for a Marketing Authorization for Licensed Product in WHIM syndrome. If Licensee notifies X4 within such [***] day period that X4 should have responsibility for preparing and submitting a UK PIP and an application to the MHRA for a Marketing Authorization for the Licensed Product in WHIM syndrome in X4’s name, the provisions of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shall apply. If Licensee does not so elect, Licensee shall have sole responsibility for preparing and submitting the UK PIP and an application to the MHRA for a Marketing Authorization for Licensed Product in WHIM syndrome, at its sole cost, and X4 will provide reasonable assistance to Licensee at Licensee’s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95" w:right="339" w:bottom="1440" w:gutter="0" w:footer="0" w:header="0"/>
        </w:sectPr>
      </w:pPr>
    </w:p>
    <w:bookmarkStart w:id="142" w:name="page143"/>
    <w:bookmarkEnd w:id="142"/>
    <w:p>
      <w:pPr>
        <w:jc w:val="both"/>
        <w:ind w:left="1280" w:hanging="635"/>
        <w:spacing w:after="0" w:line="249" w:lineRule="auto"/>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6">
                      <a:extLst>
                        <a:ext uri="{28A0092B-C50C-407E-A947-70E740481C1C}"/>
                      </a:extLst>
                    </a:blip>
                    <a:srcRect/>
                    <a:stretch>
                      <a:fillRect/>
                    </a:stretch>
                  </pic:blipFill>
                  <pic:spPr bwMode="auto">
                    <a:xfrm>
                      <a:off x="0" y="0"/>
                      <a:ext cx="7134860" cy="8255"/>
                    </a:xfrm>
                    <a:prstGeom prst="rect">
                      <a:avLst/>
                    </a:prstGeom>
                    <a:noFill/>
                  </pic:spPr>
                </pic:pic>
              </a:graphicData>
            </a:graphic>
          </wp:anchor>
        </w:drawing>
        <w:t>5.4.2</w:t>
        <w:tab/>
        <w:t xml:space="preserve">Notwithstanding Licensee’s obligations as holder of the Marketing Authorizations following transfer thereof to Licensee, and subject to the following sentence of this </w:t>
      </w:r>
      <w:r>
        <w:rPr>
          <w:rFonts w:ascii="Arial" w:cs="Arial" w:eastAsia="Arial" w:hAnsi="Arial"/>
          <w:sz w:val="18"/>
          <w:szCs w:val="18"/>
          <w:u w:val="single" w:color="auto"/>
          <w:color w:val="auto"/>
        </w:rPr>
        <w:t>Section 5.4.2</w:t>
      </w:r>
      <w:r>
        <w:rPr>
          <w:rFonts w:ascii="Arial" w:cs="Arial" w:eastAsia="Arial" w:hAnsi="Arial"/>
          <w:sz w:val="18"/>
          <w:szCs w:val="18"/>
          <w:color w:val="auto"/>
        </w:rPr>
        <w:t>, X4 shall be responsible for conducting all activities required to implement the pediatric investigation plan submitted to the EMA for the Licensed Product for WHIM. Licensee shall be solely responsible for conducting [***]. Prior to the commencement of [***], the JSC shall discuss and X4 shall use Commercially Reasonable Efforts to obtain confirmation from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as to whether [***]. If (a) the FDA confirms that [***], or (b) the FDA provides recommendations for [***], which recommendations are discussed and approved by the Parties and adopted by Licensee, then in either case (a) or (b) the Parties shall equally share Licensee’s costs and expenses in conducting [***], and X4 shall reimburse such costs within thirty (30) days of receipt of an invoice therefor. If the FDA [***] or if the Parties do not [***], Licensee shall be solely responsible for the costs of [***].</w:t>
      </w:r>
    </w:p>
    <w:p>
      <w:pPr>
        <w:spacing w:after="0" w:line="187" w:lineRule="exact"/>
        <w:rPr>
          <w:sz w:val="20"/>
          <w:szCs w:val="20"/>
          <w:color w:val="auto"/>
        </w:rPr>
      </w:pPr>
    </w:p>
    <w:p>
      <w:pPr>
        <w:jc w:val="both"/>
        <w:ind w:left="1280" w:hanging="635"/>
        <w:spacing w:after="0" w:line="248" w:lineRule="auto"/>
        <w:tabs>
          <w:tab w:leader="none" w:pos="1260" w:val="left"/>
        </w:tabs>
        <w:rPr>
          <w:sz w:val="20"/>
          <w:szCs w:val="20"/>
          <w:color w:val="auto"/>
        </w:rPr>
      </w:pPr>
      <w:r>
        <w:rPr>
          <w:rFonts w:ascii="Arial" w:cs="Arial" w:eastAsia="Arial" w:hAnsi="Arial"/>
          <w:sz w:val="18"/>
          <w:szCs w:val="18"/>
          <w:color w:val="auto"/>
        </w:rPr>
        <w:t>5.4.3</w:t>
        <w:tab/>
        <w:t>At any time following the grant of a Marketing Authorization by the EMA and/or MHRA for a Licensed Product in WHIM syndrome, Licensee may request the transfer of such Marketing Authorizations to Licensee and shall specify in such request Licensee’s preferred timeline for effecting such transfer. Promptly following receipt of such request from Licensee, X4 shall, at Licensee’s cost, submit to the EMA or MHRA (as applicable) a request for transfer of such Marketing Authorization to Licensee, which transfer, once effected, will assign to Licensee all of X4’s and its Affiliates’ rights, title, and interests in and to such Marketing Authorization, along with any associated orphan drug designation and pediatric investigation plan. X4 shall, at Licensee’s cost, execute and deliver, or will cause to be executed and delivered, to Licensee or any Relevant Regulatory Authority such endorsements, assignments, and other documents as are necessary to assign, convey, transfer, and deliver, as applicable, to Licensee such Marketing Authorization and shall use Commercially Reasonable Efforts to do so in accordance with the timeline specified by Licensee. Licensee shall, promptly following request therefor, provide X4 with all necessary documentation required for the request to transfer.</w:t>
      </w:r>
    </w:p>
    <w:p>
      <w:pPr>
        <w:spacing w:after="0" w:line="191" w:lineRule="exact"/>
        <w:rPr>
          <w:sz w:val="20"/>
          <w:szCs w:val="20"/>
          <w:color w:val="auto"/>
        </w:rPr>
      </w:pPr>
    </w:p>
    <w:p>
      <w:pPr>
        <w:jc w:val="both"/>
        <w:ind w:left="440" w:hanging="635"/>
        <w:spacing w:after="0" w:line="253" w:lineRule="auto"/>
        <w:tabs>
          <w:tab w:leader="none" w:pos="4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 xml:space="preserve">Marketing Authorization for Chronic Neutropenia. </w:t>
      </w:r>
      <w:r>
        <w:rPr>
          <w:rFonts w:ascii="Arial" w:cs="Arial" w:eastAsia="Arial" w:hAnsi="Arial"/>
          <w:sz w:val="18"/>
          <w:szCs w:val="18"/>
          <w:color w:val="auto"/>
        </w:rPr>
        <w:t>Provided that X4 has completed the Phase III Clinical Study for the Licensed Product for</w:t>
      </w:r>
      <w:r>
        <w:rPr>
          <w:rFonts w:ascii="Arial" w:cs="Arial" w:eastAsia="Arial" w:hAnsi="Arial"/>
          <w:sz w:val="18"/>
          <w:szCs w:val="18"/>
          <w:u w:val="single" w:color="auto"/>
          <w:color w:val="auto"/>
        </w:rPr>
        <w:t xml:space="preserve"> </w:t>
      </w:r>
      <w:r>
        <w:rPr>
          <w:rFonts w:ascii="Arial" w:cs="Arial" w:eastAsia="Arial" w:hAnsi="Arial"/>
          <w:sz w:val="18"/>
          <w:szCs w:val="18"/>
          <w:color w:val="auto"/>
        </w:rPr>
        <w:t>chronic neutropenia and the results from such Phase III Clinical Study support the filing of an application for Marketing Authorization with the EMA for the Licensed Product for chronic neutropenia without an additional Phase III Clinical Study being required to be conducted prior to submitting such filing, Licensee shall use Commercially Reasonable Efforts to seek a Marketing Authorization for the Licensed Product for chronic neutropenia from the EMA.</w:t>
      </w:r>
    </w:p>
    <w:p>
      <w:pPr>
        <w:spacing w:after="0" w:line="181" w:lineRule="exact"/>
        <w:rPr>
          <w:sz w:val="20"/>
          <w:szCs w:val="20"/>
          <w:color w:val="auto"/>
        </w:rPr>
      </w:pPr>
    </w:p>
    <w:p>
      <w:pPr>
        <w:jc w:val="both"/>
        <w:ind w:left="440" w:hanging="635"/>
        <w:spacing w:after="0" w:line="266" w:lineRule="auto"/>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Costs of Regulatory Activities</w:t>
      </w:r>
      <w:r>
        <w:rPr>
          <w:rFonts w:ascii="Arial" w:cs="Arial" w:eastAsia="Arial" w:hAnsi="Arial"/>
          <w:sz w:val="17"/>
          <w:szCs w:val="17"/>
          <w:color w:val="auto"/>
        </w:rPr>
        <w:t>. Save as otherwise provided in this Agreement, each Party shall bear its own costs in relation to the conduct</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of any Regulatory Activities by or on behalf of such Party, including the costs of preparation, filing and maintaining any Marketing Authorization or application therefor by such Party. For the avoidance of doubt, X4 shall be solely responsible for all costs in relation to the preparing and filing of the Marketing Authorization application for WHIM syndrome with the EMA and (only to the extent that Licensee elects pursuant to </w:t>
      </w:r>
      <w:r>
        <w:rPr>
          <w:rFonts w:ascii="Arial" w:cs="Arial" w:eastAsia="Arial" w:hAnsi="Arial"/>
          <w:sz w:val="17"/>
          <w:szCs w:val="17"/>
          <w:u w:val="single" w:color="auto"/>
          <w:color w:val="auto"/>
        </w:rPr>
        <w:t>Section 5.4.1</w:t>
      </w:r>
      <w:r>
        <w:rPr>
          <w:rFonts w:ascii="Arial" w:cs="Arial" w:eastAsia="Arial" w:hAnsi="Arial"/>
          <w:sz w:val="17"/>
          <w:szCs w:val="17"/>
          <w:color w:val="auto"/>
        </w:rPr>
        <w:t xml:space="preserve"> for X4 to be responsible for preparing and filing the Marketing Authorization application for the MHRA) with the MHRA prior to the earlier of (i) transfer to Licensee and (ii) grant of the applicable Marketing Authorization, and subject to </w:t>
      </w:r>
      <w:r>
        <w:rPr>
          <w:rFonts w:ascii="Arial" w:cs="Arial" w:eastAsia="Arial" w:hAnsi="Arial"/>
          <w:sz w:val="17"/>
          <w:szCs w:val="17"/>
          <w:u w:val="single" w:color="auto"/>
          <w:color w:val="auto"/>
        </w:rPr>
        <w:t>Section 5.4.2</w:t>
      </w:r>
      <w:r>
        <w:rPr>
          <w:rFonts w:ascii="Arial" w:cs="Arial" w:eastAsia="Arial" w:hAnsi="Arial"/>
          <w:sz w:val="17"/>
          <w:szCs w:val="17"/>
          <w:color w:val="auto"/>
        </w:rPr>
        <w:t xml:space="preserve"> Licensee shall be solely responsible for such costs thereafter, including any post-approval commitments required by the EMA or the MHRA. For clarity, X4 has no obligation to prepare or file for orphan drug designation for the United Kingdom.</w:t>
      </w:r>
    </w:p>
    <w:p>
      <w:pPr>
        <w:spacing w:after="0" w:line="175" w:lineRule="exact"/>
        <w:rPr>
          <w:sz w:val="20"/>
          <w:szCs w:val="20"/>
          <w:color w:val="auto"/>
        </w:rPr>
      </w:pPr>
    </w:p>
    <w:p>
      <w:pPr>
        <w:jc w:val="both"/>
        <w:ind w:left="480" w:hanging="635"/>
        <w:spacing w:after="0" w:line="274" w:lineRule="auto"/>
        <w:tabs>
          <w:tab w:leader="none" w:pos="4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u w:val="single" w:color="auto"/>
          <w:color w:val="auto"/>
        </w:rPr>
        <w:t>Early Access Program</w:t>
      </w:r>
      <w:r>
        <w:rPr>
          <w:rFonts w:ascii="Arial" w:cs="Arial" w:eastAsia="Arial" w:hAnsi="Arial"/>
          <w:sz w:val="18"/>
          <w:szCs w:val="18"/>
          <w:color w:val="auto"/>
        </w:rPr>
        <w:t>. Licensee shall be responsible for the transfer of the open label extension (OLE) patients in the Territory onto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early access program, and shall use Commercially Reasonable Efforts to complete such transfer on or before [***], and X4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383540</wp:posOffset>
            </wp:positionV>
            <wp:extent cx="71348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95" w:right="339" w:bottom="1440" w:gutter="0" w:footer="0" w:header="0"/>
        </w:sectPr>
      </w:pPr>
    </w:p>
    <w:bookmarkStart w:id="143" w:name="page144"/>
    <w:bookmarkEnd w:id="143"/>
    <w:p>
      <w:pPr>
        <w:jc w:val="both"/>
        <w:ind w:left="64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8">
                      <a:extLst>
                        <a:ext uri="{28A0092B-C50C-407E-A947-70E740481C1C}"/>
                      </a:extLst>
                    </a:blip>
                    <a:srcRect/>
                    <a:stretch>
                      <a:fillRect/>
                    </a:stretch>
                  </pic:blipFill>
                  <pic:spPr bwMode="auto">
                    <a:xfrm>
                      <a:off x="0" y="0"/>
                      <a:ext cx="7134860" cy="8255"/>
                    </a:xfrm>
                    <a:prstGeom prst="rect">
                      <a:avLst/>
                    </a:prstGeom>
                    <a:noFill/>
                  </pic:spPr>
                </pic:pic>
              </a:graphicData>
            </a:graphic>
          </wp:anchor>
        </w:drawing>
        <w:t>provide reasonable assistance at Licensee’s request and cost. In the event that X4 incurs direct costs in relation to early access programs, Licensee will reimburse such costs. The supply of Licensed Product for early access programs and expiry date for such product shall be discussed at the JSC.</w:t>
      </w:r>
    </w:p>
    <w:p>
      <w:pPr>
        <w:spacing w:after="0" w:line="175" w:lineRule="exact"/>
        <w:rPr>
          <w:sz w:val="20"/>
          <w:szCs w:val="20"/>
          <w:color w:val="auto"/>
        </w:rPr>
      </w:pPr>
    </w:p>
    <w:p>
      <w:pPr>
        <w:jc w:val="both"/>
        <w:ind w:left="440" w:hanging="635"/>
        <w:spacing w:after="0" w:line="251" w:lineRule="auto"/>
        <w:tabs>
          <w:tab w:leader="none" w:pos="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Reimbursement Approval</w:t>
      </w:r>
      <w:r>
        <w:rPr>
          <w:rFonts w:ascii="Arial" w:cs="Arial" w:eastAsia="Arial" w:hAnsi="Arial"/>
          <w:sz w:val="18"/>
          <w:szCs w:val="18"/>
          <w:color w:val="auto"/>
        </w:rPr>
        <w:t>. Licensee shall be responsible, at its sole cost and expense, for gaining a Reimbursement Approval and Pricing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Approval for the Licensed Product from any Relevant Regulatory Authorities in those countries within the Territory in which Licensee elects to launch the Licensed Product, and Licensee shall use Commercially Reasonable Efforts to obtain Reimbursement Approval and Pricing Approval for the Licensed Product in each of [***] following receipt of Marketing Authorization for such Licensed Product in such country. Each Party shall promptly notify the other Party in writing of any communications with, or notices from, any Relevant Regulatory Authority regarding such Reimbursement Approval or Pricing Approval.</w:t>
      </w:r>
    </w:p>
    <w:p>
      <w:pPr>
        <w:spacing w:after="0" w:line="185" w:lineRule="exact"/>
        <w:rPr>
          <w:sz w:val="20"/>
          <w:szCs w:val="20"/>
          <w:color w:val="auto"/>
        </w:rPr>
      </w:pPr>
    </w:p>
    <w:p>
      <w:pPr>
        <w:jc w:val="both"/>
        <w:ind w:left="480" w:hanging="635"/>
        <w:spacing w:after="0" w:line="253" w:lineRule="auto"/>
        <w:tabs>
          <w:tab w:leader="none" w:pos="4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u w:val="single" w:color="auto"/>
          <w:color w:val="auto"/>
        </w:rPr>
        <w:t>Compliance</w:t>
      </w:r>
      <w:r>
        <w:rPr>
          <w:rFonts w:ascii="Arial" w:cs="Arial" w:eastAsia="Arial" w:hAnsi="Arial"/>
          <w:sz w:val="18"/>
          <w:szCs w:val="18"/>
          <w:color w:val="auto"/>
        </w:rPr>
        <w:t>. Licensee shall, in respect of each order for the Licensed Product, be responsible for: (a) complying with all Applicable Law</w:t>
      </w:r>
      <w:r>
        <w:rPr>
          <w:rFonts w:ascii="Arial" w:cs="Arial" w:eastAsia="Arial" w:hAnsi="Arial"/>
          <w:sz w:val="18"/>
          <w:szCs w:val="18"/>
          <w:u w:val="single" w:color="auto"/>
          <w:color w:val="auto"/>
        </w:rPr>
        <w:t xml:space="preserve"> </w:t>
      </w:r>
      <w:r>
        <w:rPr>
          <w:rFonts w:ascii="Arial" w:cs="Arial" w:eastAsia="Arial" w:hAnsi="Arial"/>
          <w:sz w:val="18"/>
          <w:szCs w:val="18"/>
          <w:color w:val="auto"/>
        </w:rPr>
        <w:t>relating to the import, distribution, sale and supply of the Licensed Product in the Territory and shall notify X4 of any relevant changes in the Applicable Law in the Territory relating to the Packaging or labelling of the Licensed Product; and (b) obtaining any necessary import licences, certificates of origin or other requisite documents and paying all applicable customs and duties in respect of the importation of the Licensed Product into the Territory and the distribution and sale of the Licensed Product in the Territory.</w:t>
      </w:r>
    </w:p>
    <w:p>
      <w:pPr>
        <w:spacing w:after="0" w:line="181" w:lineRule="exact"/>
        <w:rPr>
          <w:sz w:val="20"/>
          <w:szCs w:val="20"/>
          <w:color w:val="auto"/>
        </w:rPr>
      </w:pPr>
    </w:p>
    <w:p>
      <w:pPr>
        <w:jc w:val="both"/>
        <w:ind w:left="540" w:hanging="635"/>
        <w:spacing w:after="0" w:line="248" w:lineRule="auto"/>
        <w:tabs>
          <w:tab w:leader="none" w:pos="5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Cooperation and Support</w:t>
      </w:r>
      <w:r>
        <w:rPr>
          <w:rFonts w:ascii="Arial" w:cs="Arial" w:eastAsia="Arial" w:hAnsi="Arial"/>
          <w:sz w:val="18"/>
          <w:szCs w:val="18"/>
          <w:color w:val="auto"/>
        </w:rPr>
        <w:t>. X4 shall, on Licensee’s request, fully cooperate with Licensee by providing reasonable assistance and support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to Licensee to the extent reasonably required in order for the Licensee to conduct Regulatory Activities for the Field in the Territory, including obtaining and maintaining the requisite documentation and governmental approvals mentioned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Such support may include preparation of regulatory filings for the Field in and for the Territory and making available all Information in X4’s possession to assist with Licensee’s preparation and submission of Regulatory Documentation in the Field in the Territory. X4 shall provide up to [***]hours of internal FTE support free of charge per calendar year and thereafter Licensee shall pay for X4’s internal costs in providing such support at the FTE Rate (provided that X4 has provided a good faith estimate of such additional hours of internal support prior to incurring such costs) as well as X4’s reasonably incurred out-of-pocket costs in providing such support, provided that, notwithstanding the foregoing, Licensee shall not be obligated to pay for X4 making available Information where such Information is in X4’s possession, does not need to be altered or prepared specifically for Licensee, and making it available does not require material internal resources of X4</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u w:val="single" w:color="auto"/>
          <w:color w:val="auto"/>
        </w:rPr>
        <w:t>Pharmacovi</w:t>
      </w:r>
      <w:r>
        <w:rPr>
          <w:rFonts w:ascii="Arial" w:cs="Arial" w:eastAsia="Arial" w:hAnsi="Arial"/>
          <w:sz w:val="17"/>
          <w:szCs w:val="17"/>
          <w:color w:val="auto"/>
        </w:rPr>
        <w:t>g</w:t>
      </w:r>
      <w:r>
        <w:rPr>
          <w:rFonts w:ascii="Arial" w:cs="Arial" w:eastAsia="Arial" w:hAnsi="Arial"/>
          <w:sz w:val="17"/>
          <w:szCs w:val="17"/>
          <w:u w:val="single" w:color="auto"/>
          <w:color w:val="auto"/>
        </w:rPr>
        <w:t>ilance</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5.11.1</w:t>
        <w:tab/>
        <w:t>No later than [***] days after the Effective Date, the Parties shall enter into a Pharmacovigilance Transfer Agreement (the “</w:t>
      </w:r>
      <w:r>
        <w:rPr>
          <w:rFonts w:ascii="Arial" w:cs="Arial" w:eastAsia="Arial" w:hAnsi="Arial"/>
          <w:sz w:val="18"/>
          <w:szCs w:val="18"/>
          <w:b w:val="1"/>
          <w:bCs w:val="1"/>
          <w:color w:val="auto"/>
        </w:rPr>
        <w:t>Pharmacovigilance Transfer Agreement</w:t>
      </w:r>
      <w:r>
        <w:rPr>
          <w:rFonts w:ascii="Arial" w:cs="Arial" w:eastAsia="Arial" w:hAnsi="Arial"/>
          <w:sz w:val="18"/>
          <w:szCs w:val="18"/>
          <w:color w:val="auto"/>
        </w:rPr>
        <w:t>”). The Pharmacovigilance Transfer Agreement will provide details of all historical safety information that must be transferred from X4 to Licensee in order for Licensee to maintain its own safety database and meet its regulatory reporting obligations under Applicable Laws.</w:t>
      </w:r>
    </w:p>
    <w:p>
      <w:pPr>
        <w:spacing w:after="0" w:line="180" w:lineRule="exact"/>
        <w:rPr>
          <w:sz w:val="20"/>
          <w:szCs w:val="20"/>
          <w:color w:val="auto"/>
        </w:rPr>
      </w:pPr>
    </w:p>
    <w:p>
      <w:pPr>
        <w:jc w:val="both"/>
        <w:ind w:left="1280" w:hanging="635"/>
        <w:spacing w:after="0" w:line="253" w:lineRule="auto"/>
        <w:tabs>
          <w:tab w:leader="none" w:pos="1260" w:val="left"/>
        </w:tabs>
        <w:rPr>
          <w:sz w:val="20"/>
          <w:szCs w:val="20"/>
          <w:color w:val="auto"/>
        </w:rPr>
      </w:pPr>
      <w:r>
        <w:rPr>
          <w:rFonts w:ascii="Arial" w:cs="Arial" w:eastAsia="Arial" w:hAnsi="Arial"/>
          <w:sz w:val="18"/>
          <w:szCs w:val="18"/>
          <w:color w:val="auto"/>
        </w:rPr>
        <w:t>5.11.2</w:t>
        <w:tab/>
        <w:t>No later than [***]days before the anticipated launch date of any Licensed Product in the Territory, the Parties shall enter into a written pharmacovigilance agreement (the "</w:t>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with customary terms and conditions consistent with industry standard practices for the commercialization of the Licensed Product. These responsibilities shall include mutually acceptable guidelines and procedures for the receipt, investigation, recording, communication, and exchange (as between the Parties) of adverse event reports (including special situation reports), pregnancy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71348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95" w:right="339" w:bottom="1440" w:gutter="0" w:footer="0" w:header="0"/>
        </w:sectPr>
      </w:pPr>
    </w:p>
    <w:bookmarkStart w:id="144" w:name="page145"/>
    <w:bookmarkEnd w:id="144"/>
    <w:p>
      <w:pPr>
        <w:jc w:val="both"/>
        <w:ind w:left="128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0">
                      <a:extLst>
                        <a:ext uri="{28A0092B-C50C-407E-A947-70E740481C1C}"/>
                      </a:extLst>
                    </a:blip>
                    <a:srcRect/>
                    <a:stretch>
                      <a:fillRect/>
                    </a:stretch>
                  </pic:blipFill>
                  <pic:spPr bwMode="auto">
                    <a:xfrm>
                      <a:off x="0" y="0"/>
                      <a:ext cx="7134860" cy="8255"/>
                    </a:xfrm>
                    <a:prstGeom prst="rect">
                      <a:avLst/>
                    </a:prstGeom>
                    <a:noFill/>
                  </pic:spPr>
                </pic:pic>
              </a:graphicData>
            </a:graphic>
          </wp:anchor>
        </w:drawing>
        <w:t>reports, and any other information concerning the safety of the Licensed Product. Such guidelines and procedures shall be in accordance with, and enable the Parties to fulfill, local and national regulatory reporting obligations under Applicable Laws in the countries, territories or jurisdictions where a Party holds a Marketing Authorization. Furthermore, such agreed procedure shall be consistent with relevant ICH guidelines, except where said guidelines may conflict with existing local regulatory reporting safety reporting requirements, in which case local reporting requirements shall prevail. Each Party hereby agrees to comply with its respective obligations under such Pharmacovigilance Agreement and to cause its Affiliates and permitted sub-licensees to comply with such obligations.</w:t>
      </w:r>
    </w:p>
    <w:p>
      <w:pPr>
        <w:spacing w:after="0" w:line="187" w:lineRule="exact"/>
        <w:rPr>
          <w:sz w:val="20"/>
          <w:szCs w:val="20"/>
          <w:color w:val="auto"/>
        </w:rPr>
      </w:pPr>
    </w:p>
    <w:p>
      <w:pPr>
        <w:jc w:val="both"/>
        <w:ind w:left="580" w:hanging="635"/>
        <w:spacing w:after="0" w:line="263" w:lineRule="auto"/>
        <w:tabs>
          <w:tab w:leader="none" w:pos="5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u w:val="single" w:color="auto"/>
          <w:color w:val="auto"/>
        </w:rPr>
        <w:t>Recall</w:t>
      </w:r>
      <w:r>
        <w:rPr>
          <w:rFonts w:ascii="Arial" w:cs="Arial" w:eastAsia="Arial" w:hAnsi="Arial"/>
          <w:sz w:val="17"/>
          <w:szCs w:val="17"/>
          <w:color w:val="auto"/>
        </w:rPr>
        <w:t>. Each Party will notify the other Party immediately, and promptly confirm such notice in writing, if it obtains information indicating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that any Licensed Product may be subject to any Recall. The Parties will assist each other in gathering and evaluating such information as is necessary to determine the necessity of conducting a Recall. Licensee shall, and shall ensure that its Affiliates and sub-licensees will, maintain adequate records to permit the Parties to trace the packaging, labeling, distribution, sale and use (to the extent possible) of the Licensed Product in the Territory. Licensee shall have sole discretion with respect to any matters relating to any Recall in the Territory, including the decision to commence such Recall and the control over such Recall in the Territory, which shall be at X4’s cost and expense unless such Recall resulted from acts or omissions by Licensee, its Affiliates, its sublicensees, its distributors, its manufacturing vendors, or other persons engaged by or on behalf of Licensee, after delivery of the relevant Licensed Product in accordance with </w:t>
      </w:r>
      <w:r>
        <w:rPr>
          <w:rFonts w:ascii="Arial" w:cs="Arial" w:eastAsia="Arial" w:hAnsi="Arial"/>
          <w:sz w:val="17"/>
          <w:szCs w:val="17"/>
          <w:u w:val="single" w:color="auto"/>
          <w:color w:val="auto"/>
        </w:rPr>
        <w:t>Section 4.5.1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X4 determines in good faith that any Recall with respect to any Licensed Product in the Territory should be commenced or is required by Applicable Laws or Relevant Regulatory Authority, (a) X4 shall discuss such Recall with Licensee; and (b) Licensee shall carry out such Recall upon X4's request. Notwithstanding anything to the contrary in clause</w:t>
      </w:r>
    </w:p>
    <w:p>
      <w:pPr>
        <w:spacing w:after="0" w:line="5" w:lineRule="exact"/>
        <w:rPr>
          <w:sz w:val="20"/>
          <w:szCs w:val="20"/>
          <w:color w:val="auto"/>
        </w:rPr>
      </w:pPr>
    </w:p>
    <w:p>
      <w:pPr>
        <w:jc w:val="both"/>
        <w:ind w:left="640" w:firstLine="2"/>
        <w:spacing w:after="0" w:line="247" w:lineRule="auto"/>
        <w:tabs>
          <w:tab w:leader="none" w:pos="922"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above, if Licensee in good faith disagrees that such Recall should be commenced or is required by Applicable Laws or Relevant Regulatory Authority, such Recall shall be conducted at X4's cost;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 Relevant Regulatory Authority later determines that such Recall is required, Licensee shall reimburse X4 such costs to the extent such Recall resulted from acts or omissions made by Licensee, its Affiliates or sublicensees on or after delivery of the relevant Licensed Product in accordance with </w:t>
      </w:r>
      <w:r>
        <w:rPr>
          <w:rFonts w:ascii="Arial" w:cs="Arial" w:eastAsia="Arial" w:hAnsi="Arial"/>
          <w:sz w:val="18"/>
          <w:szCs w:val="18"/>
          <w:u w:val="single" w:color="auto"/>
          <w:color w:val="auto"/>
        </w:rPr>
        <w:t>Section 4.5.1</w:t>
      </w:r>
      <w:r>
        <w:rPr>
          <w:rFonts w:ascii="Arial" w:cs="Arial" w:eastAsia="Arial" w:hAnsi="Arial"/>
          <w:sz w:val="18"/>
          <w:szCs w:val="18"/>
          <w:color w:val="auto"/>
        </w:rPr>
        <w:t>. Each Party shall provide the other Party, at the other Party's expense, with such assistance in connection with a Recall as may be reasonably requested by such other Party.</w:t>
      </w:r>
    </w:p>
    <w:p>
      <w:pPr>
        <w:spacing w:after="0" w:line="190" w:lineRule="exact"/>
        <w:rPr>
          <w:sz w:val="20"/>
          <w:szCs w:val="20"/>
          <w:color w:val="auto"/>
        </w:rPr>
      </w:pPr>
    </w:p>
    <w:p>
      <w:pPr>
        <w:jc w:val="both"/>
        <w:ind w:left="640" w:hanging="635"/>
        <w:spacing w:after="0" w:line="282" w:lineRule="auto"/>
        <w:tabs>
          <w:tab w:leader="none" w:pos="62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u w:val="single" w:color="auto"/>
          <w:color w:val="auto"/>
        </w:rPr>
        <w:t>Notification of Threatened Action</w:t>
      </w:r>
      <w:r>
        <w:rPr>
          <w:rFonts w:ascii="Arial" w:cs="Arial" w:eastAsia="Arial" w:hAnsi="Arial"/>
          <w:sz w:val="17"/>
          <w:szCs w:val="17"/>
          <w:color w:val="auto"/>
        </w:rPr>
        <w:t>. Each Party shall immediately notify the other Party of any information it receives regarding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threatened or pending action, inspection or communication by or from any Third Party, including without limitation a Relevant Regulatory Authority, which may affect the development, manufacture, commercialization or regulatory status of any Licensed Product.</w:t>
      </w:r>
    </w:p>
    <w:p>
      <w:pPr>
        <w:spacing w:after="0" w:line="159" w:lineRule="exact"/>
        <w:rPr>
          <w:sz w:val="20"/>
          <w:szCs w:val="20"/>
          <w:color w:val="auto"/>
        </w:rPr>
      </w:pPr>
    </w:p>
    <w:p>
      <w:pPr>
        <w:jc w:val="both"/>
        <w:ind w:left="620" w:hanging="635"/>
        <w:spacing w:after="0" w:line="260" w:lineRule="auto"/>
        <w:tabs>
          <w:tab w:leader="none" w:pos="6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8"/>
          <w:szCs w:val="18"/>
          <w:u w:val="single" w:color="auto"/>
          <w:color w:val="auto"/>
        </w:rPr>
        <w:t>No Harmful Actions</w:t>
      </w:r>
      <w:r>
        <w:rPr>
          <w:rFonts w:ascii="Arial" w:cs="Arial" w:eastAsia="Arial" w:hAnsi="Arial"/>
          <w:sz w:val="18"/>
          <w:szCs w:val="18"/>
          <w:color w:val="auto"/>
        </w:rPr>
        <w:t>. If either Party believes that the other Party is taking or intends to take any action with respect to any Licensed</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Product that could reasonably be expected to have an Adverse Risk whether in the Territory or outside the Territory, then such Party may bring the matter to the attention of the JSC and the Parties shall discuss in good faith to promptly resolve such concern.</w:t>
      </w:r>
    </w:p>
    <w:p>
      <w:pPr>
        <w:spacing w:after="0" w:line="173" w:lineRule="exact"/>
        <w:rPr>
          <w:sz w:val="20"/>
          <w:szCs w:val="20"/>
          <w:color w:val="auto"/>
        </w:rPr>
      </w:pPr>
    </w:p>
    <w:p>
      <w:pPr>
        <w:ind w:left="340" w:hanging="334"/>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MATTERS</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Fees and Other Payments</w:t>
      </w:r>
    </w:p>
    <w:p>
      <w:pPr>
        <w:spacing w:after="0" w:line="217"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u w:val="single" w:color="auto"/>
          <w:color w:val="auto"/>
        </w:rPr>
        <w:t>Up Front Fee</w:t>
      </w:r>
      <w:r>
        <w:rPr>
          <w:rFonts w:ascii="Arial" w:cs="Arial" w:eastAsia="Arial" w:hAnsi="Arial"/>
          <w:sz w:val="18"/>
          <w:szCs w:val="18"/>
          <w:color w:val="auto"/>
        </w:rPr>
        <w:t xml:space="preserve">. Licensee shall pay to X4 within five (5) Working Days of the Effective Date, as one-time, non-refundable, non-creditable fee, the amount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Up Front Fee</w:t>
      </w:r>
      <w:r>
        <w:rPr>
          <w:rFonts w:ascii="Arial" w:cs="Arial" w:eastAsia="Arial" w:hAnsi="Arial"/>
          <w:sz w:val="18"/>
          <w:szCs w:val="18"/>
          <w:color w:val="auto"/>
        </w:rPr>
        <w:t xml:space="preserve"> in Euros (€) by wire transfer of immediately available funds into an account designated by 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95" w:right="339" w:bottom="1440" w:gutter="0" w:footer="0" w:header="0"/>
        </w:sectPr>
      </w:pPr>
    </w:p>
    <w:bookmarkStart w:id="145" w:name="page146"/>
    <w:bookmarkEnd w:id="145"/>
    <w:p>
      <w:pPr>
        <w:jc w:val="both"/>
        <w:ind w:left="640" w:hanging="635"/>
        <w:spacing w:after="0" w:line="242"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2">
                      <a:extLst>
                        <a:ext uri="{28A0092B-C50C-407E-A947-70E740481C1C}"/>
                      </a:extLst>
                    </a:blip>
                    <a:srcRect/>
                    <a:stretch>
                      <a:fillRect/>
                    </a:stretch>
                  </pic:blipFill>
                  <pic:spPr bwMode="auto">
                    <a:xfrm>
                      <a:off x="0" y="0"/>
                      <a:ext cx="7134860" cy="8255"/>
                    </a:xfrm>
                    <a:prstGeom prst="rect">
                      <a:avLst/>
                    </a:prstGeom>
                    <a:noFill/>
                  </pic:spPr>
                </pic:pic>
              </a:graphicData>
            </a:graphic>
          </wp:anchor>
        </w:drawing>
        <w:t>6.1.2</w:t>
      </w:r>
      <w:r>
        <w:rPr>
          <w:sz w:val="20"/>
          <w:szCs w:val="20"/>
          <w:color w:val="auto"/>
        </w:rPr>
        <w:tab/>
      </w:r>
      <w:r>
        <w:rPr>
          <w:rFonts w:ascii="Arial" w:cs="Arial" w:eastAsia="Arial" w:hAnsi="Arial"/>
          <w:sz w:val="18"/>
          <w:szCs w:val="18"/>
          <w:u w:val="single" w:color="auto"/>
          <w:color w:val="auto"/>
        </w:rPr>
        <w:t>Milestones Payments</w:t>
      </w:r>
      <w:r>
        <w:rPr>
          <w:rFonts w:ascii="Arial" w:cs="Arial" w:eastAsia="Arial" w:hAnsi="Arial"/>
          <w:sz w:val="18"/>
          <w:szCs w:val="18"/>
          <w:color w:val="auto"/>
        </w:rPr>
        <w:t>. Licensee shall also pay to X4 the milestone payments, in each case after the achievement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applicable milestone, as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under the heading </w:t>
      </w:r>
      <w:r>
        <w:rPr>
          <w:rFonts w:ascii="Arial" w:cs="Arial" w:eastAsia="Arial" w:hAnsi="Arial"/>
          <w:sz w:val="18"/>
          <w:szCs w:val="18"/>
          <w:i w:val="1"/>
          <w:iCs w:val="1"/>
          <w:color w:val="auto"/>
        </w:rPr>
        <w:t>Milestone Payment.</w:t>
      </w:r>
      <w:r>
        <w:rPr>
          <w:rFonts w:ascii="Arial" w:cs="Arial" w:eastAsia="Arial" w:hAnsi="Arial"/>
          <w:sz w:val="18"/>
          <w:szCs w:val="18"/>
          <w:color w:val="auto"/>
        </w:rPr>
        <w:t xml:space="preserve"> Each milestone payment, once the applicable milestone has been achieved, are one-time only, non-refundable and non-creditable, and shall be paid in Euros (€) by wire transfer of immediately available funds into an account designated by X4 within [***]days after Licensee provides written notice to X4 of the achievement of the applicable milestone (which, for the avoidance of doubt, in respect of any sales milestone shall be after expiry of the fourth (4</w:t>
      </w:r>
      <w:r>
        <w:rPr>
          <w:rFonts w:ascii="Arial" w:cs="Arial" w:eastAsia="Arial" w:hAnsi="Arial"/>
          <w:sz w:val="22"/>
          <w:szCs w:val="22"/>
          <w:color w:val="auto"/>
          <w:vertAlign w:val="superscript"/>
        </w:rPr>
        <w:t>th</w:t>
      </w:r>
      <w:r>
        <w:rPr>
          <w:rFonts w:ascii="Arial" w:cs="Arial" w:eastAsia="Arial" w:hAnsi="Arial"/>
          <w:sz w:val="18"/>
          <w:szCs w:val="18"/>
          <w:color w:val="auto"/>
        </w:rPr>
        <w:t>) Calendar Quarter in the applicable calendar year), provided however that if the first milestone set forth in Appendix A is achieved prior to the Effective Date, the milestone payment shall be paid to X4 by Licensee within[***]days of the Effective Date.</w:t>
      </w:r>
    </w:p>
    <w:p>
      <w:pPr>
        <w:spacing w:after="0" w:line="192"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u w:val="single" w:color="auto"/>
          <w:color w:val="auto"/>
        </w:rPr>
        <w:t>Transfer Price</w:t>
      </w:r>
      <w:r>
        <w:rPr>
          <w:rFonts w:ascii="Arial" w:cs="Arial" w:eastAsia="Arial" w:hAnsi="Arial"/>
          <w:sz w:val="18"/>
          <w:szCs w:val="18"/>
          <w:color w:val="auto"/>
        </w:rPr>
        <w:t>. The supply price to be paid by Licensee to X4 for the Licensed Product supplied pursuant to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shall be as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(the "</w:t>
      </w:r>
      <w:r>
        <w:rPr>
          <w:rFonts w:ascii="Arial" w:cs="Arial" w:eastAsia="Arial" w:hAnsi="Arial"/>
          <w:sz w:val="18"/>
          <w:szCs w:val="18"/>
          <w:b w:val="1"/>
          <w:bCs w:val="1"/>
          <w:color w:val="auto"/>
        </w:rPr>
        <w:t>Transfer Price</w:t>
      </w:r>
      <w:r>
        <w:rPr>
          <w:rFonts w:ascii="Arial" w:cs="Arial" w:eastAsia="Arial" w:hAnsi="Arial"/>
          <w:sz w:val="18"/>
          <w:szCs w:val="18"/>
          <w:color w:val="auto"/>
        </w:rPr>
        <w:t xml:space="preserve">"). The Transfer Price for ordered Licensed Product shall be paid in Euros (€) by wire transfer to the bank account designated from time to time in writing by X4 within [***] days from the date Licensee receives the relevant invoice from X4 in accordance with </w:t>
      </w:r>
      <w:r>
        <w:rPr>
          <w:rFonts w:ascii="Arial" w:cs="Arial" w:eastAsia="Arial" w:hAnsi="Arial"/>
          <w:sz w:val="18"/>
          <w:szCs w:val="18"/>
          <w:u w:val="single" w:color="auto"/>
          <w:color w:val="auto"/>
        </w:rPr>
        <w:t>Section 4.4.2</w:t>
      </w:r>
      <w:r>
        <w:rPr>
          <w:rFonts w:ascii="Arial" w:cs="Arial" w:eastAsia="Arial" w:hAnsi="Arial"/>
          <w:sz w:val="18"/>
          <w:szCs w:val="18"/>
          <w:color w:val="auto"/>
        </w:rPr>
        <w:t>.</w:t>
      </w:r>
    </w:p>
    <w:p>
      <w:pPr>
        <w:spacing w:after="0" w:line="180" w:lineRule="exact"/>
        <w:rPr>
          <w:sz w:val="20"/>
          <w:szCs w:val="20"/>
          <w:color w:val="auto"/>
        </w:rPr>
      </w:pPr>
    </w:p>
    <w:p>
      <w:pPr>
        <w:jc w:val="both"/>
        <w:ind w:left="640" w:hanging="635"/>
        <w:spacing w:after="0" w:line="260" w:lineRule="auto"/>
        <w:tabs>
          <w:tab w:leader="none" w:pos="62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8"/>
          <w:szCs w:val="18"/>
          <w:u w:val="single" w:color="auto"/>
          <w:color w:val="auto"/>
        </w:rPr>
        <w:t>Other Payments</w:t>
      </w:r>
      <w:r>
        <w:rPr>
          <w:rFonts w:ascii="Arial" w:cs="Arial" w:eastAsia="Arial" w:hAnsi="Arial"/>
          <w:sz w:val="18"/>
          <w:szCs w:val="18"/>
          <w:color w:val="auto"/>
        </w:rPr>
        <w:t>. All other payments to be made by Licensee to X4 under this Agreement shall be paid in Euros (€) by wire</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transfer to the bank account designated from time to time in writing by X4 within [***] days from the date Licensee receives the relevant invoice from X4.</w:t>
      </w:r>
    </w:p>
    <w:p>
      <w:pPr>
        <w:spacing w:after="0" w:line="175"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8"/>
          <w:szCs w:val="18"/>
          <w:u w:val="single" w:color="auto"/>
          <w:color w:val="auto"/>
        </w:rPr>
        <w:t>Royalties</w:t>
      </w:r>
      <w:r>
        <w:rPr>
          <w:rFonts w:ascii="Arial" w:cs="Arial" w:eastAsia="Arial" w:hAnsi="Arial"/>
          <w:sz w:val="18"/>
          <w:szCs w:val="18"/>
          <w:color w:val="auto"/>
        </w:rPr>
        <w:t>. Licensee shall pay the royalties to X4 on Net Sales of Licensed Product by the Licensee and its Affiliates at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applicable rates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Royalties shall be paid in Euros (€) by wire transfer of immediately available funds into an account designated by X4 within [***] days from the end of the month in which Licensee receives the relevant invoice from X4.</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7"/>
          <w:szCs w:val="17"/>
          <w:u w:val="single" w:color="auto"/>
          <w:color w:val="auto"/>
        </w:rPr>
        <w:t>Royalty Reduction</w:t>
      </w:r>
      <w:r>
        <w:rPr>
          <w:rFonts w:ascii="Arial" w:cs="Arial" w:eastAsia="Arial" w:hAnsi="Arial"/>
          <w:sz w:val="17"/>
          <w:szCs w:val="17"/>
          <w:color w:val="auto"/>
        </w:rPr>
        <w:t>.</w:t>
      </w:r>
    </w:p>
    <w:p>
      <w:pPr>
        <w:spacing w:after="0" w:line="217" w:lineRule="exact"/>
        <w:rPr>
          <w:sz w:val="20"/>
          <w:szCs w:val="20"/>
          <w:color w:val="auto"/>
        </w:rPr>
      </w:pPr>
    </w:p>
    <w:p>
      <w:pPr>
        <w:ind w:left="1920" w:hanging="646"/>
        <w:spacing w:after="0" w:line="274" w:lineRule="auto"/>
        <w:tabs>
          <w:tab w:leader="none" w:pos="17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in any country or other jurisdiction in the Territory during the Initial Term or a Subsequent Term, a Generic Product is launched in such country or other jurisdiction:</w:t>
      </w:r>
    </w:p>
    <w:p>
      <w:pPr>
        <w:spacing w:after="0" w:line="161" w:lineRule="exact"/>
        <w:rPr>
          <w:rFonts w:ascii="Arial" w:cs="Arial" w:eastAsia="Arial" w:hAnsi="Arial"/>
          <w:sz w:val="18"/>
          <w:szCs w:val="18"/>
          <w:color w:val="auto"/>
        </w:rPr>
      </w:pPr>
    </w:p>
    <w:p>
      <w:pPr>
        <w:jc w:val="center"/>
        <w:ind w:left="2540" w:right="20" w:hanging="630"/>
        <w:spacing w:after="0" w:line="319" w:lineRule="auto"/>
        <w:tabs>
          <w:tab w:leader="none" w:pos="2257"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the applicable royalty rate(s) set forth in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for Net Sales of the Licensed Product in such country or jurisdiction following such launch will be reduced by </w:t>
      </w:r>
      <w:r>
        <w:rPr>
          <w:rFonts w:ascii="Arial" w:cs="Arial" w:eastAsia="Arial" w:hAnsi="Arial"/>
          <w:sz w:val="17"/>
          <w:szCs w:val="17"/>
          <w:b w:val="1"/>
          <w:bCs w:val="1"/>
          <w:color w:val="auto"/>
        </w:rPr>
        <w:t>[***]</w:t>
      </w:r>
      <w:r>
        <w:rPr>
          <w:rFonts w:ascii="Arial" w:cs="Arial" w:eastAsia="Arial" w:hAnsi="Arial"/>
          <w:sz w:val="17"/>
          <w:szCs w:val="17"/>
          <w:color w:val="auto"/>
        </w:rPr>
        <w:t xml:space="preserve"> for the remainder of the Initial Term; and</w:t>
      </w:r>
    </w:p>
    <w:p>
      <w:pPr>
        <w:spacing w:after="0" w:line="118" w:lineRule="exact"/>
        <w:rPr>
          <w:rFonts w:ascii="Arial" w:cs="Arial" w:eastAsia="Arial" w:hAnsi="Arial"/>
          <w:sz w:val="17"/>
          <w:szCs w:val="17"/>
          <w:color w:val="auto"/>
        </w:rPr>
      </w:pPr>
    </w:p>
    <w:p>
      <w:pPr>
        <w:ind w:left="2540" w:hanging="630"/>
        <w:spacing w:after="0" w:line="255" w:lineRule="auto"/>
        <w:tabs>
          <w:tab w:leader="none" w:pos="23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following such launch the average Net Sales of Licensed Product in any [***] Calendar Quarters in that country or other jurisdiction are, in comparison to the average Net Sales of Licensed Product in the same [***] Calendar Quarters of the immediately preceding calendar year in that country or other jurisdiction, reduced by [***] the applicable royalty rate(s)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will be reduced by an additional </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remainder of the Initial Term</w:t>
      </w:r>
      <w:r>
        <w:rPr>
          <w:rFonts w:ascii="Arial" w:cs="Arial" w:eastAsia="Arial" w:hAnsi="Arial"/>
          <w:sz w:val="18"/>
          <w:szCs w:val="18"/>
          <w:b w:val="1"/>
          <w:bCs w:val="1"/>
          <w:color w:val="auto"/>
        </w:rPr>
        <w:t>.</w:t>
      </w:r>
    </w:p>
    <w:p>
      <w:pPr>
        <w:spacing w:after="0" w:line="172" w:lineRule="exact"/>
        <w:rPr>
          <w:rFonts w:ascii="Arial" w:cs="Arial" w:eastAsia="Arial" w:hAnsi="Arial"/>
          <w:sz w:val="18"/>
          <w:szCs w:val="18"/>
          <w:color w:val="auto"/>
        </w:rPr>
      </w:pPr>
    </w:p>
    <w:p>
      <w:pPr>
        <w:ind w:left="1920" w:hanging="646"/>
        <w:spacing w:after="0" w:line="255" w:lineRule="auto"/>
        <w:tabs>
          <w:tab w:leader="none" w:pos="18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Licensee will be entitled to deduct against royalties otherwise payable to X4 hereunder up to [***] of royalty payments that Licensee makes to Third Parties in exchange for a license to intellectual property rights that are necessary to commercialize the Licensed Product in the Territory,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such Third Party payments that are attributable to the X4’s breach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394335</wp:posOffset>
            </wp:positionV>
            <wp:extent cx="71348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00"/>
          </w:cols>
          <w:pgMar w:left="960" w:top="1395" w:right="339" w:bottom="1440" w:gutter="0" w:footer="0" w:header="0"/>
        </w:sectPr>
      </w:pPr>
    </w:p>
    <w:bookmarkStart w:id="146" w:name="page147"/>
    <w:bookmarkEnd w:id="146"/>
    <w:p>
      <w:pPr>
        <w:ind w:left="2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4">
                      <a:extLst>
                        <a:ext uri="{28A0092B-C50C-407E-A947-70E740481C1C}"/>
                      </a:extLst>
                    </a:blip>
                    <a:srcRect/>
                    <a:stretch>
                      <a:fillRect/>
                    </a:stretch>
                  </pic:blipFill>
                  <pic:spPr bwMode="auto">
                    <a:xfrm>
                      <a:off x="0" y="0"/>
                      <a:ext cx="7134860" cy="8255"/>
                    </a:xfrm>
                    <a:prstGeom prst="rect">
                      <a:avLst/>
                    </a:prstGeom>
                    <a:noFill/>
                  </pic:spPr>
                </pic:pic>
              </a:graphicData>
            </a:graphic>
          </wp:anchor>
        </w:drawing>
        <w:t>Agreement, Licensee will be entitled to deduct an amount equal to [***] of such Third Party payments.</w:t>
      </w:r>
    </w:p>
    <w:p>
      <w:pPr>
        <w:spacing w:after="0" w:line="217" w:lineRule="exact"/>
        <w:rPr>
          <w:sz w:val="20"/>
          <w:szCs w:val="20"/>
          <w:color w:val="auto"/>
        </w:rPr>
      </w:pPr>
    </w:p>
    <w:p>
      <w:pPr>
        <w:jc w:val="right"/>
        <w:ind w:left="2560" w:hanging="646"/>
        <w:spacing w:after="0" w:line="270" w:lineRule="auto"/>
        <w:tabs>
          <w:tab w:leader="none" w:pos="23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on a country-by-county basis, (i) the composition of matter or method of use of a Licensed Product (as reflected on the approved label for such Licensed Product) is not Covered by a Valid Claim of the Licensed Patents and</w:t>
      </w:r>
    </w:p>
    <w:p>
      <w:pPr>
        <w:jc w:val="both"/>
        <w:ind w:left="2560" w:hanging="10"/>
        <w:spacing w:after="0" w:line="250" w:lineRule="auto"/>
        <w:tabs>
          <w:tab w:leader="none" w:pos="2826"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expiry of the regulatory market exclusivity (including any orphan designation exclusivity) for the Licensed Product, whichever is later, the royalty rates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for Net Sales of the Licensed Product in such country shall be reduced by [***]for the remainder of the Initial Term.</w:t>
      </w:r>
    </w:p>
    <w:p>
      <w:pPr>
        <w:spacing w:after="0" w:line="183" w:lineRule="exact"/>
        <w:rPr>
          <w:rFonts w:ascii="Arial" w:cs="Arial" w:eastAsia="Arial" w:hAnsi="Arial"/>
          <w:sz w:val="18"/>
          <w:szCs w:val="18"/>
          <w:color w:val="auto"/>
        </w:rPr>
      </w:pPr>
    </w:p>
    <w:p>
      <w:pPr>
        <w:ind w:left="2560" w:hanging="646"/>
        <w:spacing w:after="0" w:line="253" w:lineRule="auto"/>
        <w:tabs>
          <w:tab w:leader="none" w:pos="24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Following expiry of the Initial Term in a country, the royalty rates set forth in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for Net Sales of the Licensed Product in such country shall no longer be payable and instead Licensee shall pay, in consideration for the Licensed Know-How and the X4 Trademark, a royalty on Net Sales of Licensed Product by the Licensee and its Affiliates at a rate of [***]of Annual Net Sales of Licensed Product in the Territory. For clarity, no other royalty reductions shall apply following expiry of the Initial Term.</w:t>
      </w:r>
    </w:p>
    <w:p>
      <w:pPr>
        <w:spacing w:after="0" w:line="183" w:lineRule="exact"/>
        <w:rPr>
          <w:sz w:val="20"/>
          <w:szCs w:val="20"/>
          <w:color w:val="auto"/>
        </w:rPr>
      </w:pPr>
    </w:p>
    <w:p>
      <w:pPr>
        <w:ind w:left="1240" w:hanging="635"/>
        <w:spacing w:after="0" w:line="274" w:lineRule="auto"/>
        <w:tabs>
          <w:tab w:leader="none" w:pos="122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8"/>
          <w:szCs w:val="18"/>
          <w:u w:val="single" w:color="auto"/>
          <w:color w:val="auto"/>
        </w:rPr>
        <w:t>Sales Taxes</w:t>
      </w:r>
      <w:r>
        <w:rPr>
          <w:rFonts w:ascii="Arial" w:cs="Arial" w:eastAsia="Arial" w:hAnsi="Arial"/>
          <w:sz w:val="18"/>
          <w:szCs w:val="18"/>
          <w:color w:val="auto"/>
        </w:rPr>
        <w:t>. Licensee shall be solely responsible for the collection and payment of all taxes payable in connection with its sale</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Licensed Products in the Territory and the performance of its services as contemplated herein.</w:t>
      </w:r>
    </w:p>
    <w:p>
      <w:pPr>
        <w:spacing w:after="0" w:line="163" w:lineRule="exact"/>
        <w:rPr>
          <w:sz w:val="20"/>
          <w:szCs w:val="20"/>
          <w:color w:val="auto"/>
        </w:rPr>
      </w:pPr>
    </w:p>
    <w:p>
      <w:pPr>
        <w:jc w:val="both"/>
        <w:ind w:left="480" w:hanging="635"/>
        <w:spacing w:after="0" w:line="260" w:lineRule="auto"/>
        <w:tabs>
          <w:tab w:leader="none" w:pos="4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Reportin</w:t>
      </w:r>
      <w:r>
        <w:rPr>
          <w:rFonts w:ascii="Arial" w:cs="Arial" w:eastAsia="Arial" w:hAnsi="Arial"/>
          <w:sz w:val="18"/>
          <w:szCs w:val="18"/>
          <w:color w:val="auto"/>
        </w:rPr>
        <w:t>g. Licensee shall send within [***] days after the end of each Calendar Quarter, a written report detailing the gross sales price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Licensed Product and the Net Sales of the Licensed Product (including any deductions made thereto) in unit and amounts in Euros (€) for such Calendar Quarter, if any.</w:t>
      </w:r>
    </w:p>
    <w:p>
      <w:pPr>
        <w:spacing w:after="0" w:line="175" w:lineRule="exact"/>
        <w:rPr>
          <w:sz w:val="20"/>
          <w:szCs w:val="20"/>
          <w:color w:val="auto"/>
        </w:rPr>
      </w:pPr>
    </w:p>
    <w:p>
      <w:pPr>
        <w:jc w:val="both"/>
        <w:ind w:left="480" w:hanging="635"/>
        <w:spacing w:after="0" w:line="255" w:lineRule="auto"/>
        <w:tabs>
          <w:tab w:leader="none" w:pos="4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Payment Method; Currency Conversion</w:t>
      </w:r>
      <w:r>
        <w:rPr>
          <w:rFonts w:ascii="Arial" w:cs="Arial" w:eastAsia="Arial" w:hAnsi="Arial"/>
          <w:sz w:val="18"/>
          <w:szCs w:val="18"/>
          <w:color w:val="auto"/>
        </w:rPr>
        <w:t>. All payments under this Agreement shall be made in Euros (€) by wire transfer or other means</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acceptable to X4, as specified by X4. Payments due under this Agreement that are calculated based on amounts received by Licensee or its Affiliates in currencies other than Euros (€) will be converted into the Euros (€) equivalent, applying Licensee’s standard methodology for exchange in accordance with then current accounting standards of Licensee or its Affiliate, as applicable.</w:t>
      </w:r>
    </w:p>
    <w:p>
      <w:pPr>
        <w:spacing w:after="0" w:line="180" w:lineRule="exact"/>
        <w:rPr>
          <w:sz w:val="20"/>
          <w:szCs w:val="20"/>
          <w:color w:val="auto"/>
        </w:rPr>
      </w:pPr>
    </w:p>
    <w:p>
      <w:pPr>
        <w:jc w:val="both"/>
        <w:ind w:left="480" w:hanging="635"/>
        <w:spacing w:after="0" w:line="255" w:lineRule="auto"/>
        <w:tabs>
          <w:tab w:leader="none" w:pos="4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Late Payments</w:t>
      </w:r>
      <w:r>
        <w:rPr>
          <w:rFonts w:ascii="Arial" w:cs="Arial" w:eastAsia="Arial" w:hAnsi="Arial"/>
          <w:sz w:val="18"/>
          <w:szCs w:val="18"/>
          <w:color w:val="auto"/>
        </w:rPr>
        <w:t>. Interest at the rate of [***] per annum above the then-current 3 month ECB Euribor rate, compounded monthly (or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lesser rate then permissible under Applicable Law) shall be payable on any overdue amounts. Such interest shall accrue from the due date of payment under the terms of this Agreement until payment is made. The foregoing interest shall be due from Licensee without any special notice and shall be in addition to any other remedies that X4 may have pursuant to this Agreement.</w:t>
      </w:r>
    </w:p>
    <w:p>
      <w:pPr>
        <w:spacing w:after="0" w:line="178" w:lineRule="exact"/>
        <w:rPr>
          <w:sz w:val="20"/>
          <w:szCs w:val="20"/>
          <w:color w:val="auto"/>
        </w:rPr>
      </w:pPr>
    </w:p>
    <w:p>
      <w:pPr>
        <w:jc w:val="both"/>
        <w:ind w:left="480" w:hanging="635"/>
        <w:spacing w:after="0" w:line="250" w:lineRule="auto"/>
        <w:tabs>
          <w:tab w:leader="none" w:pos="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Withholding Tax</w:t>
      </w:r>
      <w:r>
        <w:rPr>
          <w:rFonts w:ascii="Arial" w:cs="Arial" w:eastAsia="Arial" w:hAnsi="Arial"/>
          <w:sz w:val="18"/>
          <w:szCs w:val="18"/>
          <w:color w:val="auto"/>
        </w:rPr>
        <w:t>. Licensee will make all payments to X4 under this Agreement without deduction or withholding for taxes ("</w:t>
      </w:r>
      <w:r>
        <w:rPr>
          <w:rFonts w:ascii="Arial" w:cs="Arial" w:eastAsia="Arial" w:hAnsi="Arial"/>
          <w:sz w:val="18"/>
          <w:szCs w:val="18"/>
          <w:b w:val="1"/>
          <w:bCs w:val="1"/>
          <w:color w:val="auto"/>
        </w:rPr>
        <w:t>Withholding</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Tax</w:t>
      </w:r>
      <w:r>
        <w:rPr>
          <w:rFonts w:ascii="Arial" w:cs="Arial" w:eastAsia="Arial" w:hAnsi="Arial"/>
          <w:sz w:val="18"/>
          <w:szCs w:val="18"/>
          <w:color w:val="auto"/>
        </w:rPr>
        <w:t>") except to the extent that any such deduction or withholding is required by Applicable Law in effect in the relevant country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at the time of payment. Any Withholding Tax required to be withheld on amounts payable by Licensee under this Agreement will be timely paid by Licensee on behalf of X4 to the appropriate governmental authority in the relevant country in the Territory, and Licensee will furnish X4 with the corresponding proof of payment of such Withholding Tax, as may be required in order to enable X4 to request reimbursement or deduction of the withheld amount, or to otherwise comply with its duties. If Licensee is required to withhold any Withholding Tax on amounts payable by Licensee to X4 and if it is permissible for Licensee to recover Withholding Tax on its own behalf under Applicable Law, Licensee will use Commercially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397510</wp:posOffset>
            </wp:positionV>
            <wp:extent cx="71348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95" w:right="339" w:bottom="1440" w:gutter="0" w:footer="0" w:header="0"/>
        </w:sectPr>
      </w:pPr>
    </w:p>
    <w:bookmarkStart w:id="147" w:name="page148"/>
    <w:bookmarkEnd w:id="147"/>
    <w:p>
      <w:pPr>
        <w:ind w:left="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6">
                      <a:extLst>
                        <a:ext uri="{28A0092B-C50C-407E-A947-70E740481C1C}"/>
                      </a:extLst>
                    </a:blip>
                    <a:srcRect/>
                    <a:stretch>
                      <a:fillRect/>
                    </a:stretch>
                  </pic:blipFill>
                  <pic:spPr bwMode="auto">
                    <a:xfrm>
                      <a:off x="0" y="0"/>
                      <a:ext cx="7134860" cy="8255"/>
                    </a:xfrm>
                    <a:prstGeom prst="rect">
                      <a:avLst/>
                    </a:prstGeom>
                    <a:noFill/>
                  </pic:spPr>
                </pic:pic>
              </a:graphicData>
            </a:graphic>
          </wp:anchor>
        </w:drawing>
        <w:t>Reasonable Efforts to recover such Withholding Tax and if recovered, shall timely remit such amounts to X4.</w:t>
      </w:r>
    </w:p>
    <w:p>
      <w:pPr>
        <w:spacing w:after="0" w:line="217" w:lineRule="exact"/>
        <w:rPr>
          <w:sz w:val="20"/>
          <w:szCs w:val="20"/>
          <w:color w:val="auto"/>
        </w:rPr>
      </w:pPr>
    </w:p>
    <w:p>
      <w:pPr>
        <w:jc w:val="both"/>
        <w:ind w:left="480" w:hanging="635"/>
        <w:spacing w:after="0" w:line="255" w:lineRule="auto"/>
        <w:tabs>
          <w:tab w:leader="none" w:pos="4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u w:val="single" w:color="auto"/>
          <w:color w:val="auto"/>
        </w:rPr>
        <w:t>Reports and Records; Audit by X4</w:t>
      </w:r>
      <w:r>
        <w:rPr>
          <w:rFonts w:ascii="Arial" w:cs="Arial" w:eastAsia="Arial" w:hAnsi="Arial"/>
          <w:sz w:val="18"/>
          <w:szCs w:val="18"/>
          <w:color w:val="auto"/>
        </w:rPr>
        <w:t>. Licensee shall keep (and shall cause its Affiliates to keep) accurate books and records of the gross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sales price of Licensed Product and the Net Sales of Licensed Product (including any deductions made thereto and any deduction or reimbursement of Withholding Tax), but in any case that are necessary to verify the milestone and royalty payments owed under </w:t>
      </w:r>
      <w:r>
        <w:rPr>
          <w:rFonts w:ascii="Arial" w:cs="Arial" w:eastAsia="Arial" w:hAnsi="Arial"/>
          <w:sz w:val="18"/>
          <w:szCs w:val="18"/>
          <w:u w:val="single" w:color="auto"/>
          <w:color w:val="auto"/>
        </w:rPr>
        <w:t>Sections 6.1.2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6.1.5</w:t>
      </w:r>
      <w:r>
        <w:rPr>
          <w:rFonts w:ascii="Arial" w:cs="Arial" w:eastAsia="Arial" w:hAnsi="Arial"/>
          <w:sz w:val="18"/>
          <w:szCs w:val="18"/>
          <w:color w:val="auto"/>
        </w:rPr>
        <w:t>. Licensee shall keep (and shall cause its Affiliates and sublicensees to keep) such books and records until the</w:t>
      </w:r>
    </w:p>
    <w:p>
      <w:pPr>
        <w:spacing w:after="0" w:line="8" w:lineRule="exact"/>
        <w:rPr>
          <w:sz w:val="20"/>
          <w:szCs w:val="20"/>
          <w:color w:val="auto"/>
        </w:rPr>
      </w:pPr>
    </w:p>
    <w:p>
      <w:pPr>
        <w:jc w:val="both"/>
        <w:ind w:left="640"/>
        <w:spacing w:after="0" w:line="266" w:lineRule="auto"/>
        <w:rPr>
          <w:sz w:val="20"/>
          <w:szCs w:val="20"/>
          <w:color w:val="auto"/>
        </w:rPr>
      </w:pPr>
      <w:r>
        <w:rPr>
          <w:rFonts w:ascii="Arial" w:cs="Arial" w:eastAsia="Arial" w:hAnsi="Arial"/>
          <w:sz w:val="17"/>
          <w:szCs w:val="17"/>
          <w:color w:val="auto"/>
        </w:rPr>
        <w:t xml:space="preserve">later of [***] years following the calendar year to which they pertain and the expiration of the applicable tax statute of limitations (or any extensions thereof), or for such longer period as may be required by Applicable Law. [***] per calendar year, X4 will have the option to engage (at its own expense, except as otherwise provided below) an independent internationally-recognized certified public accountant, appointed by or on behalf of X4 (which, unless the audit is conducted by or on behalf of Genzyme under the Head License, shall in each case be reasonably acceptable to Licensee), to audit in confidence (such terms of confidentiality being no less stringent that those set forth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the books and records of Licensee maintained pursuant to the foregoing provisions in this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In no event shall such accountant disclose to X4 or Genzyme any information other than its findings regarding the accuracy of the reports and payments made by Licensee under this </w:t>
      </w:r>
      <w:r>
        <w:rPr>
          <w:rFonts w:ascii="Arial" w:cs="Arial" w:eastAsia="Arial" w:hAnsi="Arial"/>
          <w:sz w:val="17"/>
          <w:szCs w:val="17"/>
          <w:u w:val="single" w:color="auto"/>
          <w:color w:val="auto"/>
        </w:rPr>
        <w:t>Article 6</w:t>
      </w:r>
      <w:r>
        <w:rPr>
          <w:rFonts w:ascii="Arial" w:cs="Arial" w:eastAsia="Arial" w:hAnsi="Arial"/>
          <w:sz w:val="17"/>
          <w:szCs w:val="17"/>
          <w:color w:val="auto"/>
        </w:rPr>
        <w:t>; provided however, that (a) the books and records for any particular 12-month period</w:t>
      </w:r>
    </w:p>
    <w:p>
      <w:pPr>
        <w:spacing w:after="0" w:line="3"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color w:val="auto"/>
        </w:rPr>
        <w:t xml:space="preserve">will only be subject to one audit (unless a previous audit during such 12-month period revealed an underpayment with respect to such period or Licensee restates or revises such books and records for such 12-month period); and (b) such audit may not be conducted for any Calendar Quarter more than [***] years after the end of such Calendar Quarter. Licensee shall, subject to written notice of such audit reasonably in advance thereof (which, unless the audit is conducted by or on behalf Genzyme under the Head Licence, shall be at least [***] days prior thereto) make its books and records available for inspection by the auditor during regular business hours at such place or places where such books and records are customarily kept, upon receipt of reasonable advance notice from X4. The books and records shall be reviewed solely to verify the accuracy of payments made by Licensee. X4 shall use Commercially Reasonable Efforts to ensure that any such audit is conducted in a manner that minimises disruption and inconvenience to Licensee. The report of such accountant will be limited to findings regarding the accuracy of the reports and payments made by Licensee under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shall be provided to Licensee at the same time as it is provided to X4. In addition, if the accountant is unable to verify the correctness of any such payment, the accountant's report may include information relating to why such payment is unverifiable. If the audit reveals any underpayment by Licensee to X4, then Licensee will pay any undisputed underpayment to X4 within[***] days after Licensee's receipt of the audit report and, if such underpayment by Licensee is more than [***] of the reported amount, Licensee shall bear the accountant's reasonable and actually incurred costs of carrying out the audit (but X4 shall otherwise bear the cost of any audit). If the audit reveals any overpayment by Licensee to X4, then X4 will reimburse any such undisputed overpayment to Licensee within [***]days after Licensee's receipt of the audit report. X4 shall treat all information subject to review under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in accordance with the confidentiality obligations under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and X4 shall cause the independent internationally-recognized certified public accountant (and, in the case of accountants appointed by Genzyme, shall use Commercially Reasonable Efforts to cause such accountant) to enter into a reasonably acceptable confidentiality agreement that includes an obligation to retain all such financial information in confidence and to disclose to X4 solely its findings regarding the accuracy of the reports and payments made by X4 hereunder, and not any other financial information, provided that X4 may disclose such results and the audit report to Genzyme as strictly necessary to fulfil its obligations under the Head License.</w:t>
      </w:r>
    </w:p>
    <w:p>
      <w:pPr>
        <w:spacing w:after="0" w:line="188" w:lineRule="exact"/>
        <w:rPr>
          <w:sz w:val="20"/>
          <w:szCs w:val="20"/>
          <w:color w:val="auto"/>
        </w:rPr>
      </w:pPr>
    </w:p>
    <w:p>
      <w:pPr>
        <w:ind w:left="340" w:hanging="334"/>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BY 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419100</wp:posOffset>
            </wp:positionV>
            <wp:extent cx="7134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95" w:right="339" w:bottom="1440" w:gutter="0" w:footer="0" w:header="0"/>
        </w:sectPr>
      </w:pPr>
    </w:p>
    <w:bookmarkStart w:id="148" w:name="page149"/>
    <w:bookmarkEnd w:id="148"/>
    <w:p>
      <w:pPr>
        <w:jc w:val="both"/>
        <w:ind w:left="560" w:hanging="635"/>
        <w:spacing w:after="0" w:line="250"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8">
                      <a:extLst>
                        <a:ext uri="{28A0092B-C50C-407E-A947-70E740481C1C}"/>
                      </a:extLst>
                    </a:blip>
                    <a:srcRect/>
                    <a:stretch>
                      <a:fillRect/>
                    </a:stretch>
                  </pic:blipFill>
                  <pic:spPr bwMode="auto">
                    <a:xfrm>
                      <a:off x="0" y="0"/>
                      <a:ext cx="7134860" cy="8255"/>
                    </a:xfrm>
                    <a:prstGeom prst="rect">
                      <a:avLst/>
                    </a:prstGeom>
                    <a:noFill/>
                  </pic:spPr>
                </pic:pic>
              </a:graphicData>
            </a:graphic>
          </wp:anchor>
        </w:drawing>
        <w:t>7.1</w:t>
      </w:r>
      <w:r>
        <w:rPr>
          <w:sz w:val="20"/>
          <w:szCs w:val="20"/>
          <w:color w:val="auto"/>
        </w:rPr>
        <w:tab/>
      </w:r>
      <w:r>
        <w:rPr>
          <w:rFonts w:ascii="Arial" w:cs="Arial" w:eastAsia="Arial" w:hAnsi="Arial"/>
          <w:sz w:val="18"/>
          <w:szCs w:val="18"/>
          <w:u w:val="single" w:color="auto"/>
          <w:color w:val="auto"/>
        </w:rPr>
        <w:t>Disclosure of Licensed Know-How</w:t>
      </w:r>
      <w:r>
        <w:rPr>
          <w:rFonts w:ascii="Arial" w:cs="Arial" w:eastAsia="Arial" w:hAnsi="Arial"/>
          <w:sz w:val="18"/>
          <w:szCs w:val="18"/>
          <w:color w:val="auto"/>
        </w:rPr>
        <w:t>. Promptly after the Effective Date, X4 shall provide all Licensed Know-How that is necessary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reasonably useful for Licensee to exercise its rights under this Agreement in the Field in the Territory, including any chemistry, manufacturing and controls (CMC) data, Regulatory Documentation and data from any and all pre-clinical studies and Clinical Studies included in the Licensed Know-How and relating to the Licensed Product in the Field, to the extent not previously provided by X4. During the Term, X4 shall provide to Licensee at Licensee’s expense (subject to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any additional Licensed Know-How that is reasonably necessary for Licensee to exercise its rights under this Agreement with respect to Licensed Products and Licensed Compounds in the Field within the Territory.</w:t>
      </w:r>
    </w:p>
    <w:p>
      <w:pPr>
        <w:spacing w:after="0" w:line="187" w:lineRule="exact"/>
        <w:rPr>
          <w:sz w:val="20"/>
          <w:szCs w:val="20"/>
          <w:color w:val="auto"/>
        </w:rPr>
      </w:pPr>
    </w:p>
    <w:p>
      <w:pPr>
        <w:jc w:val="both"/>
        <w:ind w:left="540" w:hanging="635"/>
        <w:spacing w:after="0" w:line="251" w:lineRule="auto"/>
        <w:tabs>
          <w:tab w:leader="none" w:pos="5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Diligence</w:t>
      </w:r>
      <w:r>
        <w:rPr>
          <w:rFonts w:ascii="Arial" w:cs="Arial" w:eastAsia="Arial" w:hAnsi="Arial"/>
          <w:sz w:val="18"/>
          <w:szCs w:val="18"/>
          <w:color w:val="auto"/>
        </w:rPr>
        <w:t>. X4 shall: (a) file an application with the EMA by [***], and subsequently use Commercially Reasonable Efforts to obtain a</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Marketing Authorization from the EMA, for the Licensed Product for WHIM syndrome; (b) if Licensee elects under </w:t>
      </w:r>
      <w:r>
        <w:rPr>
          <w:rFonts w:ascii="Arial" w:cs="Arial" w:eastAsia="Arial" w:hAnsi="Arial"/>
          <w:sz w:val="18"/>
          <w:szCs w:val="18"/>
          <w:u w:val="single" w:color="auto"/>
          <w:color w:val="auto"/>
        </w:rPr>
        <w:t>Section 5.4.1</w:t>
      </w:r>
      <w:r>
        <w:rPr>
          <w:rFonts w:ascii="Arial" w:cs="Arial" w:eastAsia="Arial" w:hAnsi="Arial"/>
          <w:sz w:val="18"/>
          <w:szCs w:val="18"/>
          <w:color w:val="auto"/>
        </w:rPr>
        <w:t xml:space="preserve"> that X4 should have responsibility for filing an application for Marketing Authorization with the MHRA for the Licensed Product for WHIM syndrome, X4 shall use Commercially Reasonable Efforts to file and obtain a Marketing Authorization within a timeframe that is agreed by the JSC; and (c) use Commercially Reasonable Efforts to complete the Phase III Clinical Study for the Licensed Product for chronic neutropenia.</w:t>
      </w:r>
    </w:p>
    <w:p>
      <w:pPr>
        <w:spacing w:after="0" w:line="185" w:lineRule="exact"/>
        <w:rPr>
          <w:sz w:val="20"/>
          <w:szCs w:val="20"/>
          <w:color w:val="auto"/>
        </w:rPr>
      </w:pPr>
    </w:p>
    <w:p>
      <w:pPr>
        <w:jc w:val="both"/>
        <w:ind w:left="500" w:hanging="635"/>
        <w:spacing w:after="0" w:line="249" w:lineRule="auto"/>
        <w:tabs>
          <w:tab w:leader="none" w:pos="4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Supply</w:t>
      </w:r>
      <w:r>
        <w:rPr>
          <w:rFonts w:ascii="Arial" w:cs="Arial" w:eastAsia="Arial" w:hAnsi="Arial"/>
          <w:sz w:val="18"/>
          <w:szCs w:val="18"/>
          <w:color w:val="auto"/>
        </w:rPr>
        <w:t>. X4 shall supply or have supplied the Licensed Product in conformity with the Specifications and Good Manufacturing Practices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and the Quality Agreement, together with such documentation as required under the Quality Agreement. X4 shall not be responsible for any damages or losses suffered by Licensee resulting from the storage, testing, use or sale of the Licensed Product by Licensee after delivery. Licensee shall inform X4 of any claim relating to quantitative deficiencies in any delivery of Licensed Product within [***]Working Days following Licensed Product being delivered in accordance with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Any claim for a quantitative deficiency which is not made within such period shall be deemed to have been waived by Licensee. Licensee shall only be obligated to pay for actual quantities delivered;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 that</w:t>
      </w:r>
      <w:r>
        <w:rPr>
          <w:rFonts w:ascii="Arial" w:cs="Arial" w:eastAsia="Arial" w:hAnsi="Arial"/>
          <w:sz w:val="18"/>
          <w:szCs w:val="18"/>
          <w:color w:val="auto"/>
        </w:rPr>
        <w:t xml:space="preserve"> X4 shall have the option, subject to prior agreement of Licensee, of rectifying any such deficiency by promptly delivering the appropriate quantities (with no additional shipment costs for Licensee) of Licensed Product to Licensee, in which case Licensee shall be obligated to pay for any such quantities pursuant to the terms and conditions of this Agreement.</w:t>
      </w:r>
    </w:p>
    <w:p>
      <w:pPr>
        <w:spacing w:after="0" w:line="185" w:lineRule="exact"/>
        <w:rPr>
          <w:sz w:val="20"/>
          <w:szCs w:val="20"/>
          <w:color w:val="auto"/>
        </w:rPr>
      </w:pPr>
    </w:p>
    <w:p>
      <w:pPr>
        <w:jc w:val="both"/>
        <w:ind w:left="480" w:hanging="635"/>
        <w:spacing w:after="0" w:line="247" w:lineRule="auto"/>
        <w:tabs>
          <w:tab w:leader="none" w:pos="4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Acceptance/Re</w:t>
      </w:r>
      <w:r>
        <w:rPr>
          <w:rFonts w:ascii="Arial" w:cs="Arial" w:eastAsia="Arial" w:hAnsi="Arial"/>
          <w:sz w:val="18"/>
          <w:szCs w:val="18"/>
          <w:color w:val="auto"/>
        </w:rPr>
        <w:t>j</w:t>
      </w:r>
      <w:r>
        <w:rPr>
          <w:rFonts w:ascii="Arial" w:cs="Arial" w:eastAsia="Arial" w:hAnsi="Arial"/>
          <w:sz w:val="18"/>
          <w:szCs w:val="18"/>
          <w:u w:val="single" w:color="auto"/>
          <w:color w:val="auto"/>
        </w:rPr>
        <w:t>ection of Licensed Product</w:t>
      </w:r>
      <w:r>
        <w:rPr>
          <w:rFonts w:ascii="Arial" w:cs="Arial" w:eastAsia="Arial" w:hAnsi="Arial"/>
          <w:sz w:val="18"/>
          <w:szCs w:val="18"/>
          <w:color w:val="auto"/>
        </w:rPr>
        <w:t>. Licensee shall notify X4 or its designee of any rejection of Licensed Product and of the basis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under this Agreement for such rejection, including any testing or inspection results, within [***] Working Days after Licensed Product is delivered in accordance with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or, with respect to any latent detects not otherwise visually observable, within [***] days after becoming aware of such defect (a "</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Failure to notify X4 within such period shall constitute acceptance of such Licensed Product. Following delivery of a Rejection Notice, the Parties shall conduct good faith discussions with the aim of resolving any dispute as to whether a Licensed Product is defective. If the Parties are unable to reach such a resolution, then samples or batch records, as appropriate, from the batch which is in dispute will promptly be submitted for testing and evaluation to an independent Third Party (including a testing laboratory) as shall be agreed to in writing by both Parties acting reasonably. The determination of such Third Party as to whether such Licensed Product meets the Specifications, Good Manufacturing Practices and the Quality Agreement will be final and binding. The cost of the testing and evaluation by the Third Party shall be borne by X4 if the Third Party determines that the Licensed Product in question does not meet the Specifications, Good Manufacturing Practices or the Quality Agreement as a result of a cause occurring prior to delivery in accordance with </w:t>
      </w:r>
      <w:r>
        <w:rPr>
          <w:rFonts w:ascii="Arial" w:cs="Arial" w:eastAsia="Arial" w:hAnsi="Arial"/>
          <w:sz w:val="18"/>
          <w:szCs w:val="18"/>
          <w:u w:val="single" w:color="auto"/>
          <w:color w:val="auto"/>
        </w:rPr>
        <w:t>Section 4.5.1</w:t>
      </w:r>
      <w:r>
        <w:rPr>
          <w:rFonts w:ascii="Arial" w:cs="Arial" w:eastAsia="Arial" w:hAnsi="Arial"/>
          <w:sz w:val="18"/>
          <w:szCs w:val="18"/>
          <w:color w:val="auto"/>
        </w:rPr>
        <w:t>, and by Licensee if the Third Party determines that the Licensed Product in question meets the Specifications, Good Manufacturing Practices and the Quality Agreement or do not meet the Specifications, Good Manufacturing Practices or the Quality Agreement as a result of a cause occurring after delivery. If any sampled Licensed Product is found by the Third Party or is agreed by X4 not to conform to the Specifications, Good Manufacturing Practices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404495</wp:posOffset>
            </wp:positionV>
            <wp:extent cx="71348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95" w:right="339" w:bottom="1440" w:gutter="0" w:footer="0" w:header="0"/>
        </w:sectPr>
      </w:pPr>
    </w:p>
    <w:bookmarkStart w:id="149" w:name="page150"/>
    <w:bookmarkEnd w:id="149"/>
    <w:p>
      <w:pPr>
        <w:jc w:val="both"/>
        <w:ind w:left="6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0">
                      <a:extLst>
                        <a:ext uri="{28A0092B-C50C-407E-A947-70E740481C1C}"/>
                      </a:extLst>
                    </a:blip>
                    <a:srcRect/>
                    <a:stretch>
                      <a:fillRect/>
                    </a:stretch>
                  </pic:blipFill>
                  <pic:spPr bwMode="auto">
                    <a:xfrm>
                      <a:off x="0" y="0"/>
                      <a:ext cx="7134860" cy="8255"/>
                    </a:xfrm>
                    <a:prstGeom prst="rect">
                      <a:avLst/>
                    </a:prstGeom>
                    <a:noFill/>
                  </pic:spPr>
                </pic:pic>
              </a:graphicData>
            </a:graphic>
          </wp:anchor>
        </w:drawing>
        <w:t>Quality Agreement as a result of a cause occurring prior to delivery, Licensee shall not be required to pay for such Licensed Product, and X4 shall as soon as possible, if so requested by Licensee, replace such defective Licensed Product at no additional cost to Licensee and have such defective Licensed Product destroyed, at X4's expense, in accordance with Applicable Law in the jurisdiction in which destruction occurs.</w:t>
      </w:r>
    </w:p>
    <w:p>
      <w:pPr>
        <w:spacing w:after="0" w:line="180" w:lineRule="exact"/>
        <w:rPr>
          <w:sz w:val="20"/>
          <w:szCs w:val="20"/>
          <w:color w:val="auto"/>
        </w:rPr>
      </w:pPr>
    </w:p>
    <w:p>
      <w:pPr>
        <w:jc w:val="both"/>
        <w:ind w:left="480" w:hanging="635"/>
        <w:spacing w:after="0" w:line="249" w:lineRule="auto"/>
        <w:tabs>
          <w:tab w:leader="none" w:pos="4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u w:val="single" w:color="auto"/>
          <w:color w:val="auto"/>
        </w:rPr>
        <w:t>Quality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X4 shall, to the extent permitted without breaching the terms of the applicable quality agreement entered into by X4</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its Third Party contract manufacturer, supply redacted copies of its quality agreements with its manufacturers of Licensed Product setting forth the respective duties and obligations relating to the manufacturing and supply of the Licensed Product to Licensee as soon as reasonably possible following the Effective Date or its/their execution, as applicable, and X4 and Licensee shall enter into a quality agreement setting forth their respective duties and obligations relating to the manufacturing, supply and distribution of the Licensed Product under this Agreement (the "</w:t>
      </w:r>
      <w:r>
        <w:rPr>
          <w:rFonts w:ascii="Arial" w:cs="Arial" w:eastAsia="Arial" w:hAnsi="Arial"/>
          <w:sz w:val="18"/>
          <w:szCs w:val="18"/>
          <w:b w:val="1"/>
          <w:bCs w:val="1"/>
          <w:color w:val="auto"/>
        </w:rPr>
        <w:t>Quality Agreement</w:t>
      </w:r>
      <w:r>
        <w:rPr>
          <w:rFonts w:ascii="Arial" w:cs="Arial" w:eastAsia="Arial" w:hAnsi="Arial"/>
          <w:sz w:val="18"/>
          <w:szCs w:val="18"/>
          <w:color w:val="auto"/>
        </w:rPr>
        <w:t>"), such Quality Agreement to be in place before any commercial launch of the Licensed Product in the Territory. In the event of any conflict between the terms and conditions of this Agreement and the terms and conditions of the Quality Agreement with respect to the subject matters of the Quality Agreement, the terms and conditions of the Quality Agreement shall govern and control.</w:t>
      </w:r>
    </w:p>
    <w:p>
      <w:pPr>
        <w:spacing w:after="0" w:line="187" w:lineRule="exact"/>
        <w:rPr>
          <w:sz w:val="20"/>
          <w:szCs w:val="20"/>
          <w:color w:val="auto"/>
        </w:rPr>
      </w:pPr>
    </w:p>
    <w:p>
      <w:pPr>
        <w:jc w:val="both"/>
        <w:ind w:left="560" w:hanging="635"/>
        <w:spacing w:after="0" w:line="249" w:lineRule="auto"/>
        <w:tabs>
          <w:tab w:leader="none" w:pos="5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u w:val="single" w:color="auto"/>
          <w:color w:val="auto"/>
        </w:rPr>
        <w:t>Brand Strate</w:t>
      </w:r>
      <w:r>
        <w:rPr>
          <w:rFonts w:ascii="Arial" w:cs="Arial" w:eastAsia="Arial" w:hAnsi="Arial"/>
          <w:sz w:val="18"/>
          <w:szCs w:val="18"/>
          <w:color w:val="auto"/>
        </w:rPr>
        <w:t>g</w:t>
      </w:r>
      <w:r>
        <w:rPr>
          <w:rFonts w:ascii="Arial" w:cs="Arial" w:eastAsia="Arial" w:hAnsi="Arial"/>
          <w:sz w:val="18"/>
          <w:szCs w:val="18"/>
          <w:u w:val="single" w:color="auto"/>
          <w:color w:val="auto"/>
        </w:rPr>
        <w:t>y and Materials</w:t>
      </w:r>
      <w:r>
        <w:rPr>
          <w:rFonts w:ascii="Arial" w:cs="Arial" w:eastAsia="Arial" w:hAnsi="Arial"/>
          <w:sz w:val="18"/>
          <w:szCs w:val="18"/>
          <w:color w:val="auto"/>
        </w:rPr>
        <w:t>. X4 shall share with Licensee, on an ad-hoc basis upon Licensee's reasonable request, global brand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strategy and materials as are relevant to the marketing and sale of the Licensed Product in the Territory. Notwithstanding the foregoing, Licensee shall have sole responsibility for the Licensed Product marketing materials used in the Territory and may adapt, develop and produce its own marketing materials in accordance with Applicable Law in the Territory and internal marketing policies of Licensee (and shall own all copyright therein), provided that, if the X4 Trademark is registered in such country, Licensee shall indicate in all marketing materials that Licensee is acting on its own account as licensee of X4, by including the following statement: "Product under license from X4 Pharmaceuticals Inc. XOLREMDI is a registered trade mark of the X4 group of companies, licensed to the Norgine group of companies". If necessary, Licensee may translate such materials into other languages at Licensee's expense, provided that Licensee shall be solely responsible for ensuring that all such translations are accurate.</w:t>
      </w:r>
    </w:p>
    <w:p>
      <w:pPr>
        <w:spacing w:after="0" w:line="1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u w:val="single" w:color="auto"/>
          <w:color w:val="auto"/>
        </w:rPr>
        <w:t>Compliance</w:t>
      </w:r>
      <w:r>
        <w:rPr>
          <w:rFonts w:ascii="Arial" w:cs="Arial" w:eastAsia="Arial" w:hAnsi="Arial"/>
          <w:sz w:val="17"/>
          <w:szCs w:val="17"/>
          <w:color w:val="auto"/>
        </w:rPr>
        <w: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In addition to the definitions set out in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the following definitions shall apply for the purposes of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15"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means all laws, regulations or orders relating to bribery or corruption, including, without limitation, (i) the </w:t>
      </w:r>
      <w:r>
        <w:rPr>
          <w:rFonts w:ascii="Arial" w:cs="Arial" w:eastAsia="Arial" w:hAnsi="Arial"/>
          <w:sz w:val="18"/>
          <w:szCs w:val="18"/>
          <w:i w:val="1"/>
          <w:iCs w:val="1"/>
          <w:color w:val="auto"/>
        </w:rPr>
        <w:t xml:space="preserve">United States Foreign Corrupt Practices Act 1977 </w:t>
      </w:r>
      <w:r>
        <w:rPr>
          <w:rFonts w:ascii="Arial" w:cs="Arial" w:eastAsia="Arial" w:hAnsi="Arial"/>
          <w:sz w:val="18"/>
          <w:szCs w:val="18"/>
          <w:color w:val="auto"/>
        </w:rPr>
        <w:t>(as amended), (ii) the</w:t>
      </w:r>
      <w:r>
        <w:rPr>
          <w:rFonts w:ascii="Arial" w:cs="Arial" w:eastAsia="Arial" w:hAnsi="Arial"/>
          <w:sz w:val="18"/>
          <w:szCs w:val="18"/>
          <w:i w:val="1"/>
          <w:iCs w:val="1"/>
          <w:color w:val="auto"/>
        </w:rPr>
        <w:t xml:space="preserve"> United Kingdom Bribery Act 2010</w:t>
      </w:r>
      <w:r>
        <w:rPr>
          <w:rFonts w:ascii="Arial" w:cs="Arial" w:eastAsia="Arial" w:hAnsi="Arial"/>
          <w:sz w:val="18"/>
          <w:szCs w:val="18"/>
          <w:color w:val="auto"/>
        </w:rPr>
        <w:t>, and (iii) any national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laws enacted to implement the OECD Convention on Combating Bribery of Foreign Officials in International Business Transactions.</w:t>
      </w:r>
    </w:p>
    <w:p>
      <w:pPr>
        <w:spacing w:after="0" w:line="177" w:lineRule="exact"/>
        <w:rPr>
          <w:sz w:val="20"/>
          <w:szCs w:val="20"/>
          <w:color w:val="auto"/>
        </w:rPr>
      </w:pPr>
    </w:p>
    <w:p>
      <w:pPr>
        <w:jc w:val="both"/>
        <w:ind w:left="64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Anti-Facilitation of Tax Evasion Laws</w:t>
      </w:r>
      <w:r>
        <w:rPr>
          <w:rFonts w:ascii="Arial" w:cs="Arial" w:eastAsia="Arial" w:hAnsi="Arial"/>
          <w:sz w:val="18"/>
          <w:szCs w:val="18"/>
          <w:color w:val="auto"/>
        </w:rPr>
        <w:t xml:space="preserve">" means all Applicable Laws, regulations or orders designed or intended to prohibit, prevent, or restrict the facilitation of tax evasion, including, without limitation, the </w:t>
      </w:r>
      <w:r>
        <w:rPr>
          <w:rFonts w:ascii="Arial" w:cs="Arial" w:eastAsia="Arial" w:hAnsi="Arial"/>
          <w:sz w:val="18"/>
          <w:szCs w:val="18"/>
          <w:i w:val="1"/>
          <w:iCs w:val="1"/>
          <w:color w:val="auto"/>
        </w:rPr>
        <w:t>United Kingdom Criminal Finances Act 2017</w:t>
      </w:r>
      <w:r>
        <w:rPr>
          <w:rFonts w:ascii="Arial" w:cs="Arial" w:eastAsia="Arial" w:hAnsi="Arial"/>
          <w:sz w:val="18"/>
          <w:szCs w:val="18"/>
          <w:color w:val="auto"/>
        </w:rPr>
        <w:t>.</w:t>
      </w:r>
    </w:p>
    <w:p>
      <w:pPr>
        <w:spacing w:after="0" w:line="160"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xml:space="preserve">" means all Applicable Laws, regulations or orders relating to money laundering, terrorist financing or the proceeds of criminal activity, including, without limitation, (i) the </w:t>
      </w:r>
      <w:r>
        <w:rPr>
          <w:rFonts w:ascii="Arial" w:cs="Arial" w:eastAsia="Arial" w:hAnsi="Arial"/>
          <w:sz w:val="18"/>
          <w:szCs w:val="18"/>
          <w:i w:val="1"/>
          <w:iCs w:val="1"/>
          <w:color w:val="auto"/>
        </w:rPr>
        <w:t>European Union Anti-Money Laundering Directives</w:t>
      </w:r>
      <w:r>
        <w:rPr>
          <w:rFonts w:ascii="Arial" w:cs="Arial" w:eastAsia="Arial" w:hAnsi="Arial"/>
          <w:sz w:val="18"/>
          <w:szCs w:val="18"/>
          <w:color w:val="auto"/>
        </w:rPr>
        <w:t xml:space="preserve"> and any related legislation implemented by member states of the European Union, (ii) the </w:t>
      </w:r>
      <w:r>
        <w:rPr>
          <w:rFonts w:ascii="Arial" w:cs="Arial" w:eastAsia="Arial" w:hAnsi="Arial"/>
          <w:sz w:val="18"/>
          <w:szCs w:val="18"/>
          <w:i w:val="1"/>
          <w:iCs w:val="1"/>
          <w:color w:val="auto"/>
        </w:rPr>
        <w:t>United Kingdom Proceeds of Crime Act 2002</w:t>
      </w:r>
      <w:r>
        <w:rPr>
          <w:rFonts w:ascii="Arial" w:cs="Arial" w:eastAsia="Arial" w:hAnsi="Arial"/>
          <w:sz w:val="18"/>
          <w:szCs w:val="18"/>
          <w:color w:val="auto"/>
        </w:rPr>
        <w:t xml:space="preserve">, and (iii) the </w:t>
      </w:r>
      <w:r>
        <w:rPr>
          <w:rFonts w:ascii="Arial" w:cs="Arial" w:eastAsia="Arial" w:hAnsi="Arial"/>
          <w:sz w:val="18"/>
          <w:szCs w:val="18"/>
          <w:i w:val="1"/>
          <w:iCs w:val="1"/>
          <w:color w:val="auto"/>
        </w:rPr>
        <w:t xml:space="preserve">United States Bank Secrecy Act </w:t>
      </w:r>
      <w:r>
        <w:rPr>
          <w:rFonts w:ascii="Arial" w:cs="Arial" w:eastAsia="Arial" w:hAnsi="Arial"/>
          <w:sz w:val="18"/>
          <w:szCs w:val="18"/>
          <w:color w:val="auto"/>
        </w:rPr>
        <w:t>and</w:t>
      </w:r>
      <w:r>
        <w:rPr>
          <w:rFonts w:ascii="Arial" w:cs="Arial" w:eastAsia="Arial" w:hAnsi="Arial"/>
          <w:sz w:val="18"/>
          <w:szCs w:val="18"/>
          <w:i w:val="1"/>
          <w:iCs w:val="1"/>
          <w:color w:val="auto"/>
        </w:rPr>
        <w:t xml:space="preserve"> USA PATRIOT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393700</wp:posOffset>
            </wp:positionV>
            <wp:extent cx="71348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95" w:right="339" w:bottom="1440" w:gutter="0" w:footer="0" w:header="0"/>
        </w:sectPr>
      </w:pPr>
    </w:p>
    <w:bookmarkStart w:id="150" w:name="page151"/>
    <w:bookmarkEnd w:id="150"/>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2">
                      <a:extLst>
                        <a:ext uri="{28A0092B-C50C-407E-A947-70E740481C1C}"/>
                      </a:extLst>
                    </a:blip>
                    <a:srcRect/>
                    <a:stretch>
                      <a:fillRect/>
                    </a:stretch>
                  </pic:blipFill>
                  <pic:spPr bwMode="auto">
                    <a:xfrm>
                      <a:off x="0" y="0"/>
                      <a:ext cx="7134860" cy="8255"/>
                    </a:xfrm>
                    <a:prstGeom prst="rect">
                      <a:avLst/>
                    </a:prstGeom>
                    <a:noFill/>
                  </pic:spPr>
                </pic:pic>
              </a:graphicData>
            </a:graphic>
          </wp:anchor>
        </w:drawing>
        <w:t>"</w:t>
      </w:r>
      <w:r>
        <w:rPr>
          <w:rFonts w:ascii="Arial" w:cs="Arial" w:eastAsia="Arial" w:hAnsi="Arial"/>
          <w:sz w:val="18"/>
          <w:szCs w:val="18"/>
          <w:b w:val="1"/>
          <w:bCs w:val="1"/>
          <w:color w:val="auto"/>
        </w:rPr>
        <w:t>Anti-Trust Laws</w:t>
      </w:r>
      <w:r>
        <w:rPr>
          <w:rFonts w:ascii="Arial" w:cs="Arial" w:eastAsia="Arial" w:hAnsi="Arial"/>
          <w:sz w:val="18"/>
          <w:szCs w:val="18"/>
          <w:color w:val="auto"/>
        </w:rPr>
        <w:t>" means all Applicable Laws governing the conduct of any person in relation to restrictive or other anti-competitive agreements or practices (including cartels, pricing, resale pricing, market sharing, bid rigging, terms of trading, purchase or supply and joint ventures), abuse of dominant or monopoly market positions (whether held individually or collectively) and the control of acquisitions or mergers.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Laws</w:t>
      </w:r>
      <w:r>
        <w:rPr>
          <w:rFonts w:ascii="Arial" w:cs="Arial" w:eastAsia="Arial" w:hAnsi="Arial"/>
          <w:sz w:val="18"/>
          <w:szCs w:val="18"/>
          <w:color w:val="auto"/>
        </w:rPr>
        <w:t>" means Anti-Corruption Laws, Anti-Facilitation of Tax Evasion Laws, Anti-Money Laundering Laws, Anti-Trust Laws, Data Protection Laws, Economic Sanctions Laws, Export Control Laws and Modern Slavery and Human Trafficking Laws.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Laws</w:t>
      </w:r>
      <w:r>
        <w:rPr>
          <w:rFonts w:ascii="Arial" w:cs="Arial" w:eastAsia="Arial" w:hAnsi="Arial"/>
          <w:sz w:val="18"/>
          <w:szCs w:val="18"/>
          <w:color w:val="auto"/>
        </w:rPr>
        <w:t>" means, as applicable (i) the General Data Protection Regulation 2016/679; the Privacy and Electronic Communications Directive 2002/58/EC and 2009/136/EC (each as implemented into the national law of EU Member States);</w:t>
      </w:r>
    </w:p>
    <w:p>
      <w:pPr>
        <w:jc w:val="both"/>
        <w:ind w:firstLine="2"/>
        <w:spacing w:after="0" w:line="248" w:lineRule="auto"/>
        <w:tabs>
          <w:tab w:leader="none" w:pos="2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Regulation (EU) 2016/679, as its forms part of the laws of England and Wales, Scotland and Northern Ireland by virtue of the Data Protection Act 2018, as amended by the Data Protection, Privacy and Electronic Communications (Amendments etc.) (EU Exit) Regulations 2019, and the Privacy and Electronic Communications Regulations 2003; and (iii) other equivalent laws, regulations or other binding instruction in other jurisdictions which implements any of the foregoing or which otherwise relates to data protection, privacy or the use of personal data, each as amended, consolidated or repeated from time to time.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Sanctions Laws</w:t>
      </w:r>
      <w:r>
        <w:rPr>
          <w:rFonts w:ascii="Arial" w:cs="Arial" w:eastAsia="Arial" w:hAnsi="Arial"/>
          <w:sz w:val="18"/>
          <w:szCs w:val="18"/>
          <w:color w:val="auto"/>
        </w:rPr>
        <w:t>" means applicable economic or financial sanctions, restrictive measures, trade embargoes or Export Control Laws imposed, administered or enforced from time to time by any sanctions authority.</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Export Control Law</w:t>
      </w:r>
      <w:r>
        <w:rPr>
          <w:rFonts w:ascii="Arial" w:cs="Arial" w:eastAsia="Arial" w:hAnsi="Arial"/>
          <w:sz w:val="18"/>
          <w:szCs w:val="18"/>
          <w:color w:val="auto"/>
        </w:rPr>
        <w:t>" means all Applicable Laws, regulations or orders relating to the export or re-export of goods, technology, software, technical data, or services, including those administered by (i) the United States Department of Commerce, including the Export Administration Regulations, (ii) the United States Department of the Treasury, (iii) the United States Department of State; (iv) the Export Control Joint Unit of the United Kingdom; and (v) the European Union or any member state thereof.</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Modern Slavery and Human Trafficking Law</w:t>
      </w:r>
      <w:r>
        <w:rPr>
          <w:rFonts w:ascii="Arial" w:cs="Arial" w:eastAsia="Arial" w:hAnsi="Arial"/>
          <w:sz w:val="18"/>
          <w:szCs w:val="18"/>
          <w:color w:val="auto"/>
        </w:rPr>
        <w:t xml:space="preserve">" means all applicable anti-slavery or human trafficking laws, statutes, regulations and codes from time to time in force, including laws, statues and regulations relating to immigration, recruitment, forced labour, child labour, working hours, minimum pay and work place including, without limitation, the </w:t>
      </w:r>
      <w:r>
        <w:rPr>
          <w:rFonts w:ascii="Arial" w:cs="Arial" w:eastAsia="Arial" w:hAnsi="Arial"/>
          <w:sz w:val="18"/>
          <w:szCs w:val="18"/>
          <w:i w:val="1"/>
          <w:iCs w:val="1"/>
          <w:color w:val="auto"/>
        </w:rPr>
        <w:t>United Kingdom Modern Slavery Act 2015</w:t>
      </w:r>
      <w:r>
        <w:rPr>
          <w:rFonts w:ascii="Arial" w:cs="Arial" w:eastAsia="Arial" w:hAnsi="Arial"/>
          <w:sz w:val="18"/>
          <w:szCs w:val="18"/>
          <w:color w:val="auto"/>
        </w:rPr>
        <w:t>.</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7.7.1</w:t>
      </w:r>
      <w:r>
        <w:rPr>
          <w:sz w:val="20"/>
          <w:szCs w:val="20"/>
          <w:color w:val="auto"/>
        </w:rPr>
        <w:tab/>
      </w:r>
      <w:r>
        <w:rPr>
          <w:rFonts w:ascii="Arial" w:cs="Arial" w:eastAsia="Arial" w:hAnsi="Arial"/>
          <w:sz w:val="17"/>
          <w:szCs w:val="17"/>
          <w:u w:val="single" w:color="auto"/>
          <w:color w:val="auto"/>
        </w:rPr>
        <w:t>General</w:t>
      </w:r>
      <w:r>
        <w:rPr>
          <w:rFonts w:ascii="Arial" w:cs="Arial" w:eastAsia="Arial" w:hAnsi="Arial"/>
          <w:sz w:val="17"/>
          <w:szCs w:val="17"/>
          <w:color w:val="auto"/>
        </w:rPr>
        <w:t>. Each Party shall, and shall procure that its Affiliates shall:</w:t>
      </w:r>
    </w:p>
    <w:p>
      <w:pPr>
        <w:spacing w:after="0" w:line="217" w:lineRule="exact"/>
        <w:rPr>
          <w:sz w:val="20"/>
          <w:szCs w:val="20"/>
          <w:color w:val="auto"/>
        </w:rPr>
      </w:pPr>
    </w:p>
    <w:p>
      <w:pPr>
        <w:ind w:left="1920" w:hanging="646"/>
        <w:spacing w:after="0" w:line="253" w:lineRule="auto"/>
        <w:tabs>
          <w:tab w:leader="none" w:pos="18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 its obligations under this Agreement in accordance with Applicable Laws and in accordance with its respective Code of Business Ethics and comply at all times with all Compliance Laws and any codes of conduct of any applicable regulatory authority or trade association, and professional industry standards and carry out its respective activities contemplated hereunder in accordance with Applicable Laws and its respective Code of Business Ethics;</w:t>
      </w:r>
    </w:p>
    <w:p>
      <w:pPr>
        <w:spacing w:after="0" w:line="181" w:lineRule="exact"/>
        <w:rPr>
          <w:rFonts w:ascii="Arial" w:cs="Arial" w:eastAsia="Arial" w:hAnsi="Arial"/>
          <w:sz w:val="18"/>
          <w:szCs w:val="18"/>
          <w:color w:val="auto"/>
        </w:rPr>
      </w:pPr>
    </w:p>
    <w:p>
      <w:pPr>
        <w:ind w:left="1920" w:hanging="646"/>
        <w:spacing w:after="0" w:line="274" w:lineRule="auto"/>
        <w:tabs>
          <w:tab w:leader="none" w:pos="17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not do, or omit to do, any act that may cause or lead Licensee or any of its Affiliates to be in breach of any Compliance Laws or other requirements set out in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1920" w:hanging="646"/>
        <w:spacing w:after="0" w:line="274" w:lineRule="auto"/>
        <w:tabs>
          <w:tab w:leader="none" w:pos="1804"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maintain and enforce adequate policies designed to ensure compliance with all Compliance Laws and other requirements set out in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383540</wp:posOffset>
            </wp:positionV>
            <wp:extent cx="71348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00"/>
          </w:cols>
          <w:pgMar w:left="960" w:top="1393" w:right="339" w:bottom="1440" w:gutter="0" w:footer="0" w:header="0"/>
        </w:sectPr>
      </w:pPr>
    </w:p>
    <w:bookmarkStart w:id="151" w:name="page152"/>
    <w:bookmarkEnd w:id="151"/>
    <w:p>
      <w:pPr>
        <w:ind w:left="1920" w:hanging="646"/>
        <w:spacing w:after="0" w:line="255" w:lineRule="auto"/>
        <w:tabs>
          <w:tab w:leader="none" w:pos="1777"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273685</wp:posOffset>
            </wp:positionV>
            <wp:extent cx="71348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4">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promptly notify the other Party if it becomes aware of, or the subject of, an investigation, inquiry, enforcement proceeding or prosecution which relates to, any actual or alleged breach of any Compliance Laws or other requirements set out in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in relation to the performance of its obligations or exercise of its rights under this Agreement; and</w:t>
      </w:r>
    </w:p>
    <w:p>
      <w:pPr>
        <w:spacing w:after="0" w:line="180" w:lineRule="exact"/>
        <w:rPr>
          <w:rFonts w:ascii="Arial" w:cs="Arial" w:eastAsia="Arial" w:hAnsi="Arial"/>
          <w:sz w:val="18"/>
          <w:szCs w:val="18"/>
          <w:color w:val="auto"/>
        </w:rPr>
      </w:pPr>
    </w:p>
    <w:p>
      <w:pPr>
        <w:ind w:left="1920" w:hanging="646"/>
        <w:spacing w:after="0" w:line="255" w:lineRule="auto"/>
        <w:tabs>
          <w:tab w:leader="none" w:pos="16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promptly co-operate with the other Party and/or any regulator and/or prosecutor in any investigation relating to any actual or alleged breach of any Compliance Laws or other requirements set out in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by the other Party or any of its Affiliates in relation to the performance of its obligations or exercise of its rights under this Agreement.</w:t>
      </w:r>
    </w:p>
    <w:p>
      <w:pPr>
        <w:spacing w:after="0" w:line="180" w:lineRule="exact"/>
        <w:rPr>
          <w:sz w:val="20"/>
          <w:szCs w:val="20"/>
          <w:color w:val="auto"/>
        </w:rPr>
      </w:pPr>
    </w:p>
    <w:p>
      <w:pPr>
        <w:jc w:val="both"/>
        <w:ind w:left="600" w:hanging="635"/>
        <w:spacing w:after="0" w:line="251" w:lineRule="auto"/>
        <w:tabs>
          <w:tab w:leader="none" w:pos="580" w:val="left"/>
        </w:tabs>
        <w:rPr>
          <w:sz w:val="20"/>
          <w:szCs w:val="20"/>
          <w:color w:val="auto"/>
        </w:rPr>
      </w:pPr>
      <w:r>
        <w:rPr>
          <w:rFonts w:ascii="Arial" w:cs="Arial" w:eastAsia="Arial" w:hAnsi="Arial"/>
          <w:sz w:val="18"/>
          <w:szCs w:val="18"/>
          <w:color w:val="auto"/>
        </w:rPr>
        <w:t>7.7.2</w:t>
      </w:r>
      <w:r>
        <w:rPr>
          <w:sz w:val="20"/>
          <w:szCs w:val="20"/>
          <w:color w:val="auto"/>
        </w:rPr>
        <w:tab/>
      </w:r>
      <w:r>
        <w:rPr>
          <w:rFonts w:ascii="Arial" w:cs="Arial" w:eastAsia="Arial" w:hAnsi="Arial"/>
          <w:sz w:val="18"/>
          <w:szCs w:val="18"/>
          <w:u w:val="single" w:color="auto"/>
          <w:color w:val="auto"/>
        </w:rPr>
        <w:t>Anti-Bribery and Corruption</w:t>
      </w:r>
      <w:r>
        <w:rPr>
          <w:rFonts w:ascii="Arial" w:cs="Arial" w:eastAsia="Arial" w:hAnsi="Arial"/>
          <w:sz w:val="18"/>
          <w:szCs w:val="18"/>
          <w:color w:val="auto"/>
        </w:rPr>
        <w:t>. Each Party and its Affiliates have not and will not make, and shall procure that its sublicensees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Third Party contractors engaged in connection with this Agreement have not and will not make, directly or indirectly, in connection with this Agreement and/or in connection with any other business transaction related to its Affiliates, a payment or gift of, or an offer, promise, or authorisation to give money or anything of value to any government official or other person or entity while knowing or having reason to believe that some portion or all of the payment or thing of value will be offered, given, or promised, directly or indirectly, to a government official or another person or entity for the purpose of:</w:t>
      </w:r>
    </w:p>
    <w:p>
      <w:pPr>
        <w:spacing w:after="0" w:line="185" w:lineRule="exact"/>
        <w:rPr>
          <w:sz w:val="20"/>
          <w:szCs w:val="20"/>
          <w:color w:val="auto"/>
        </w:rPr>
      </w:pPr>
    </w:p>
    <w:p>
      <w:pPr>
        <w:ind w:left="1920" w:hanging="646"/>
        <w:spacing w:after="0" w:line="260" w:lineRule="auto"/>
        <w:tabs>
          <w:tab w:leader="none" w:pos="1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influencing any act or decision of such government official or such person or entity in their official capacity, including a decision to do or omit to do any act in violation of their lawful duties or proper performance of functions;</w:t>
      </w:r>
    </w:p>
    <w:p>
      <w:pPr>
        <w:spacing w:after="0" w:line="175" w:lineRule="exact"/>
        <w:rPr>
          <w:rFonts w:ascii="Arial" w:cs="Arial" w:eastAsia="Arial" w:hAnsi="Arial"/>
          <w:sz w:val="18"/>
          <w:szCs w:val="18"/>
          <w:color w:val="auto"/>
        </w:rPr>
      </w:pPr>
    </w:p>
    <w:p>
      <w:pPr>
        <w:ind w:left="1920" w:hanging="646"/>
        <w:spacing w:after="0" w:line="274" w:lineRule="auto"/>
        <w:tabs>
          <w:tab w:leader="none" w:pos="173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inducing such government official or such person or entity to use their influence or position with any government entity or other person or entity to influence any act or decision; or</w:t>
      </w:r>
    </w:p>
    <w:p>
      <w:pPr>
        <w:spacing w:after="0" w:line="163" w:lineRule="exact"/>
        <w:rPr>
          <w:rFonts w:ascii="Arial" w:cs="Arial" w:eastAsia="Arial" w:hAnsi="Arial"/>
          <w:sz w:val="18"/>
          <w:szCs w:val="18"/>
          <w:color w:val="auto"/>
        </w:rPr>
      </w:pPr>
    </w:p>
    <w:p>
      <w:pPr>
        <w:ind w:left="1680" w:hanging="406"/>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order to obtain or retain business for, direct business to, or secure an improper advantage for its Affiliates.</w:t>
      </w:r>
    </w:p>
    <w:p>
      <w:pPr>
        <w:spacing w:after="0" w:line="2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7.7.3</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Party represents and warrants that:</w:t>
      </w:r>
    </w:p>
    <w:p>
      <w:pPr>
        <w:spacing w:after="0" w:line="217" w:lineRule="exact"/>
        <w:rPr>
          <w:sz w:val="20"/>
          <w:szCs w:val="20"/>
          <w:color w:val="auto"/>
        </w:rPr>
      </w:pPr>
    </w:p>
    <w:p>
      <w:pPr>
        <w:ind w:left="1920" w:right="20" w:hanging="646"/>
        <w:spacing w:after="0" w:line="274" w:lineRule="auto"/>
        <w:tabs>
          <w:tab w:leader="none" w:pos="17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and its Affiliates are familiar with and understand the requirements and prohibitions of applicable Compliance Laws, and have had and will continue to have appropriate training regarding Compliance Laws;</w:t>
      </w:r>
    </w:p>
    <w:p>
      <w:pPr>
        <w:spacing w:after="0" w:line="163" w:lineRule="exact"/>
        <w:rPr>
          <w:rFonts w:ascii="Arial" w:cs="Arial" w:eastAsia="Arial" w:hAnsi="Arial"/>
          <w:sz w:val="18"/>
          <w:szCs w:val="18"/>
          <w:color w:val="auto"/>
        </w:rPr>
      </w:pPr>
    </w:p>
    <w:p>
      <w:pPr>
        <w:ind w:left="1920" w:hanging="646"/>
        <w:spacing w:after="0" w:line="260" w:lineRule="auto"/>
        <w:tabs>
          <w:tab w:leader="none" w:pos="17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and its Affiliates are not conducting any business directly or indirectly in any territory in breach of Compliance Laws (including the Economic Sanctions Laws restricting trade in Russia, Belarus, Cuba, Iran, Syria, North Korea, Crimea of Ukraine, Donetsk Peoples Republic, Luhansk Peoples Republic);</w:t>
      </w:r>
    </w:p>
    <w:p>
      <w:pPr>
        <w:spacing w:after="0" w:line="175" w:lineRule="exact"/>
        <w:rPr>
          <w:rFonts w:ascii="Arial" w:cs="Arial" w:eastAsia="Arial" w:hAnsi="Arial"/>
          <w:sz w:val="18"/>
          <w:szCs w:val="18"/>
          <w:color w:val="auto"/>
        </w:rPr>
      </w:pPr>
    </w:p>
    <w:p>
      <w:pPr>
        <w:ind w:left="1920" w:hanging="646"/>
        <w:spacing w:after="0" w:line="260" w:lineRule="auto"/>
        <w:tabs>
          <w:tab w:leader="none" w:pos="17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neither it nor any of its Affiliates has at any time prior to the date of this Agreement committed a breach, is in breach of, or is subject to any investigation, inquiry, enforcement proceeding or prosecution which relates to an actual or alleged breach of applicable Compliance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391160</wp:posOffset>
            </wp:positionV>
            <wp:extent cx="71348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600"/>
          </w:cols>
          <w:pgMar w:left="960" w:top="1395" w:right="339" w:bottom="1440" w:gutter="0" w:footer="0" w:header="0"/>
        </w:sectPr>
      </w:pPr>
    </w:p>
    <w:bookmarkStart w:id="152" w:name="page153"/>
    <w:bookmarkEnd w:id="152"/>
    <w:p>
      <w:pPr>
        <w:ind w:left="2560" w:hanging="646"/>
        <w:spacing w:after="0" w:line="274" w:lineRule="auto"/>
        <w:tabs>
          <w:tab w:leader="none" w:pos="2344"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6">
                      <a:extLst>
                        <a:ext uri="{28A0092B-C50C-407E-A947-70E740481C1C}"/>
                      </a:extLst>
                    </a:blip>
                    <a:srcRect/>
                    <a:stretch>
                      <a:fillRect/>
                    </a:stretch>
                  </pic:blipFill>
                  <pic:spPr bwMode="auto">
                    <a:xfrm>
                      <a:off x="0" y="0"/>
                      <a:ext cx="7134860" cy="8255"/>
                    </a:xfrm>
                    <a:prstGeom prst="rect">
                      <a:avLst/>
                    </a:prstGeom>
                    <a:noFill/>
                  </pic:spPr>
                </pic:pic>
              </a:graphicData>
            </a:graphic>
          </wp:anchor>
        </w:drawing>
        <w:t>it has conducted and will continue to conduct appropriate due diligence on its consultants, subcontractors, service providers and any other of its own counterparties for their compliance with all Compliance Laws; and</w:t>
      </w:r>
    </w:p>
    <w:p>
      <w:pPr>
        <w:spacing w:after="0" w:line="163" w:lineRule="exact"/>
        <w:rPr>
          <w:rFonts w:ascii="Arial" w:cs="Arial" w:eastAsia="Arial" w:hAnsi="Arial"/>
          <w:sz w:val="18"/>
          <w:szCs w:val="18"/>
          <w:color w:val="auto"/>
        </w:rPr>
      </w:pPr>
    </w:p>
    <w:p>
      <w:pPr>
        <w:ind w:left="2560" w:hanging="646"/>
        <w:spacing w:after="0" w:line="260" w:lineRule="auto"/>
        <w:tabs>
          <w:tab w:leader="none" w:pos="237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connection with this Agreement, no improper financial or other advantage has been, will be or is agreed to be given to any person (whether working for or engaged by any of its Affiliates or any Third Party) by or on behalf of such Party or any of its Affiliates.</w:t>
      </w:r>
    </w:p>
    <w:p>
      <w:pPr>
        <w:spacing w:after="0" w:line="175" w:lineRule="exact"/>
        <w:rPr>
          <w:sz w:val="20"/>
          <w:szCs w:val="20"/>
          <w:color w:val="auto"/>
        </w:rPr>
      </w:pPr>
    </w:p>
    <w:p>
      <w:pPr>
        <w:jc w:val="both"/>
        <w:ind w:left="1240" w:hanging="635"/>
        <w:spacing w:after="0" w:line="264" w:lineRule="auto"/>
        <w:tabs>
          <w:tab w:leader="none" w:pos="1220" w:val="left"/>
        </w:tabs>
        <w:rPr>
          <w:sz w:val="20"/>
          <w:szCs w:val="20"/>
          <w:color w:val="auto"/>
        </w:rPr>
      </w:pPr>
      <w:r>
        <w:rPr>
          <w:rFonts w:ascii="Arial" w:cs="Arial" w:eastAsia="Arial" w:hAnsi="Arial"/>
          <w:sz w:val="18"/>
          <w:szCs w:val="18"/>
          <w:color w:val="auto"/>
        </w:rPr>
        <w:t>7.7.4</w:t>
      </w:r>
      <w:r>
        <w:rPr>
          <w:sz w:val="20"/>
          <w:szCs w:val="20"/>
          <w:color w:val="auto"/>
        </w:rPr>
        <w:tab/>
      </w:r>
      <w:r>
        <w:rPr>
          <w:rFonts w:ascii="Arial" w:cs="Arial" w:eastAsia="Arial" w:hAnsi="Arial"/>
          <w:sz w:val="17"/>
          <w:szCs w:val="17"/>
          <w:u w:val="single" w:color="auto"/>
          <w:color w:val="auto"/>
        </w:rPr>
        <w:t>Record Keeping and Audit</w:t>
      </w:r>
      <w:r>
        <w:rPr>
          <w:rFonts w:ascii="Arial" w:cs="Arial" w:eastAsia="Arial" w:hAnsi="Arial"/>
          <w:sz w:val="17"/>
          <w:szCs w:val="17"/>
          <w:color w:val="auto"/>
        </w:rPr>
        <w:t>. X4 shall keep (at its normal place of business) detailed, accurate and up-to-date records and books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of account showing in reasonable detail all expenditures incurred and payments made or received in relation to this Agreement and the steps taken by X4 to comply with Compliance Laws and other requirements set out in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X4 shall ensure that such records and books of account are sufficient to enable Licensee to verify X4's and its Affiliates' compliance with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X4 shall within [***] Working Days of receipt of written request from Licensee permit Licensee and its Third Party representatives (subject to customary confidentiality undertakings), on reasonable notice during normal business hours, but without notice in case of any reasonably suspected breach of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to access and take copies of X4's records and meet relevant X4's personnel, in order to audit X4's and its Affiliates' compliance with their obligations under this </w:t>
      </w:r>
      <w:r>
        <w:rPr>
          <w:rFonts w:ascii="Arial" w:cs="Arial" w:eastAsia="Arial" w:hAnsi="Arial"/>
          <w:sz w:val="17"/>
          <w:szCs w:val="17"/>
          <w:u w:val="single" w:color="auto"/>
          <w:color w:val="auto"/>
        </w:rPr>
        <w:t>Section 7.7</w:t>
      </w:r>
      <w:r>
        <w:rPr>
          <w:rFonts w:ascii="Arial" w:cs="Arial" w:eastAsia="Arial" w:hAnsi="Arial"/>
          <w:sz w:val="17"/>
          <w:szCs w:val="17"/>
          <w:color w:val="auto"/>
        </w:rPr>
        <w:t>. Licensee shall use Commercially Reasonable Efforts to ensure that any such audit is conducted in a manner that minimizes disruption and inconvenience to X4. X4 shall give all reasonable assistance to Licensee and its representatives in relation to the conduct of such audit. Each Party shall bear its own costs and expenses related to any such audit unless X4 is in material breach of any of its obligations under this Agreement, in which case X4 shall pay to Licensee the reasonable costs and expenses of such audit. Such audit rights shall continue for [***] year after termination or expiry of this Agreement.</w:t>
      </w:r>
    </w:p>
    <w:p>
      <w:pPr>
        <w:spacing w:after="0" w:line="173" w:lineRule="exact"/>
        <w:rPr>
          <w:sz w:val="20"/>
          <w:szCs w:val="20"/>
          <w:color w:val="auto"/>
        </w:rPr>
      </w:pPr>
    </w:p>
    <w:p>
      <w:pPr>
        <w:jc w:val="both"/>
        <w:ind w:left="1260" w:hanging="635"/>
        <w:spacing w:after="0" w:line="251" w:lineRule="auto"/>
        <w:tabs>
          <w:tab w:leader="none" w:pos="1240" w:val="left"/>
        </w:tabs>
        <w:rPr>
          <w:sz w:val="20"/>
          <w:szCs w:val="20"/>
          <w:color w:val="auto"/>
        </w:rPr>
      </w:pPr>
      <w:r>
        <w:rPr>
          <w:rFonts w:ascii="Arial" w:cs="Arial" w:eastAsia="Arial" w:hAnsi="Arial"/>
          <w:sz w:val="18"/>
          <w:szCs w:val="18"/>
          <w:color w:val="auto"/>
        </w:rPr>
        <w:t>7.7.5</w:t>
      </w:r>
      <w:r>
        <w:rPr>
          <w:sz w:val="20"/>
          <w:szCs w:val="20"/>
          <w:color w:val="auto"/>
        </w:rPr>
        <w:tab/>
      </w:r>
      <w:r>
        <w:rPr>
          <w:rFonts w:ascii="Arial" w:cs="Arial" w:eastAsia="Arial" w:hAnsi="Arial"/>
          <w:sz w:val="18"/>
          <w:szCs w:val="18"/>
          <w:u w:val="single" w:color="auto"/>
          <w:color w:val="auto"/>
        </w:rPr>
        <w:t>Data Protection</w:t>
      </w:r>
      <w:r>
        <w:rPr>
          <w:rFonts w:ascii="Arial" w:cs="Arial" w:eastAsia="Arial" w:hAnsi="Arial"/>
          <w:sz w:val="18"/>
          <w:szCs w:val="18"/>
          <w:color w:val="auto"/>
        </w:rPr>
        <w:t>. At the time of signing this Agreement, the Parties agree that no personal or sensitive personal data (including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but not limited to data concerning health, meaning personal data related to the physical or mental health of a natural person, including the provision of health care services, which reveal information about the data subject's health status) will be processed in connection with the Agreement. If, after the signing of this Agreement, either Party anticipates that personal or sensitive personal data will be processed, the Parties will enter into a data processing agreement or "Standard Contractual Clauses" (SCCs) as appropriate under applicable Data Protection Laws, using Licensee's template.</w:t>
      </w:r>
    </w:p>
    <w:p>
      <w:pPr>
        <w:spacing w:after="0" w:line="183" w:lineRule="exact"/>
        <w:rPr>
          <w:sz w:val="20"/>
          <w:szCs w:val="20"/>
          <w:color w:val="auto"/>
        </w:rPr>
      </w:pPr>
    </w:p>
    <w:p>
      <w:pPr>
        <w:ind w:left="340" w:hanging="334"/>
        <w:spacing w:after="0"/>
        <w:tabs>
          <w:tab w:leader="none" w:pos="3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BY LICENSEE</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Performance</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51" w:lineRule="auto"/>
        <w:tabs>
          <w:tab w:leader="none" w:pos="1260" w:val="left"/>
        </w:tabs>
        <w:rPr>
          <w:sz w:val="20"/>
          <w:szCs w:val="20"/>
          <w:color w:val="auto"/>
        </w:rPr>
      </w:pPr>
      <w:r>
        <w:rPr>
          <w:rFonts w:ascii="Arial" w:cs="Arial" w:eastAsia="Arial" w:hAnsi="Arial"/>
          <w:sz w:val="18"/>
          <w:szCs w:val="18"/>
          <w:color w:val="auto"/>
        </w:rPr>
        <w:t>8.1.1</w:t>
        <w:tab/>
        <w:t>Licensee shall itself, or through its Affiliates or sublicensees (in each case as permitted under this Agreement), use Commercially Reasonable Efforts to commercialize the Licensed Product in the Territory in WHIM syndrome, and, following the grant of Marketing Authorization for chronic neutropenia, in the Territory in chronic neutropenia, in each case such Commercially Reasonable Efforts determined holistically across all approved indications of the Licensed Product. Without prejudice to the generality of the foregoing, this shall include using Commercially Reasonable Efforts to commercialize at least one Licensed Product in the Field in accordance with Applicable Law 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397510</wp:posOffset>
            </wp:positionV>
            <wp:extent cx="7134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95" w:right="339" w:bottom="1440" w:gutter="0" w:footer="0" w:header="0"/>
        </w:sectPr>
      </w:pPr>
    </w:p>
    <w:bookmarkStart w:id="153" w:name="page154"/>
    <w:bookmarkEnd w:id="153"/>
    <w:p>
      <w:pPr>
        <w:jc w:val="both"/>
        <w:ind w:left="1260" w:hanging="635"/>
        <w:spacing w:after="0" w:line="250" w:lineRule="auto"/>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8">
                      <a:extLst>
                        <a:ext uri="{28A0092B-C50C-407E-A947-70E740481C1C}"/>
                      </a:extLst>
                    </a:blip>
                    <a:srcRect/>
                    <a:stretch>
                      <a:fillRect/>
                    </a:stretch>
                  </pic:blipFill>
                  <pic:spPr bwMode="auto">
                    <a:xfrm>
                      <a:off x="0" y="0"/>
                      <a:ext cx="7134860" cy="8255"/>
                    </a:xfrm>
                    <a:prstGeom prst="rect">
                      <a:avLst/>
                    </a:prstGeom>
                    <a:noFill/>
                  </pic:spPr>
                </pic:pic>
              </a:graphicData>
            </a:graphic>
          </wp:anchor>
        </w:drawing>
        <w:t>8.1.2</w:t>
        <w:tab/>
        <w:t xml:space="preserve">Licensee agrees to manage at Licensee's expense the distribution and/or sale of the Licensed Product throughout the Territory in accordance with the Performance Plan. Such Performance Plan shall be updated from time to time by Licensee and shall set forth for the applicable calendar year the sales targets and commercialisation strategy for the Licensed Products and the contemplated timelines for the foregoing. The initial Performance Plan will be provided by Licensee to X4 within [***] months of the Effective Date and Licensee shall provide an updated copy of the Performance Plan for each calendar year by no later than September 30th of the prior year. Any updates to the sales targets shall reflect the good faith discussions at the JSC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87" w:lineRule="exact"/>
        <w:rPr>
          <w:sz w:val="20"/>
          <w:szCs w:val="20"/>
          <w:color w:val="auto"/>
        </w:rPr>
      </w:pPr>
    </w:p>
    <w:p>
      <w:pPr>
        <w:jc w:val="both"/>
        <w:ind w:left="440" w:hanging="635"/>
        <w:spacing w:after="0" w:line="253" w:lineRule="auto"/>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Reports</w:t>
      </w:r>
      <w:r>
        <w:rPr>
          <w:rFonts w:ascii="Arial" w:cs="Arial" w:eastAsia="Arial" w:hAnsi="Arial"/>
          <w:sz w:val="18"/>
          <w:szCs w:val="18"/>
          <w:color w:val="auto"/>
        </w:rPr>
        <w:t>. At least [***] per calendar year, and in any case by [***] and [***] of each calendar year, Licensee shall provide X4 with a detailed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report describing, to the extent applicable: (a) the development activities it has performed, or caused to be performed, since the preceding report; and (b) its development activities in process; and (c) safety findings related to the Licensed Products. All information disclosed by Licensee to X4 pursuant to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be the Confidential Information of Licensee, provided that X4 may disclose such report to fulfil its obligations under the Head License.</w:t>
      </w:r>
    </w:p>
    <w:p>
      <w:pPr>
        <w:spacing w:after="0" w:line="181" w:lineRule="exact"/>
        <w:rPr>
          <w:sz w:val="20"/>
          <w:szCs w:val="20"/>
          <w:color w:val="auto"/>
        </w:rPr>
      </w:pPr>
    </w:p>
    <w:p>
      <w:pPr>
        <w:jc w:val="both"/>
        <w:ind w:left="480" w:hanging="635"/>
        <w:spacing w:after="0" w:line="250" w:lineRule="auto"/>
        <w:tabs>
          <w:tab w:leader="none" w:pos="4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Records</w:t>
      </w:r>
      <w:r>
        <w:rPr>
          <w:rFonts w:ascii="Arial" w:cs="Arial" w:eastAsia="Arial" w:hAnsi="Arial"/>
          <w:sz w:val="18"/>
          <w:szCs w:val="18"/>
          <w:color w:val="auto"/>
        </w:rPr>
        <w:t>. Licensee shall maintain, or cause to be maintained, all Regulatory Documentation Controlled by Licensee and final supporting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records and documentation therefor (but not draft records or documentation therefor except as otherwise required by Applicable Law), in sufficient detail and in compliance with Applicable Law. Such records and documentation shall be complete and accurate and shall fully and properly reflect all work done and results achieved in the performance of the applicable development activities in a manner appropriate for any regulatory purpose and, when applicable, for use in connection with Patent filings, prosecution and maintenance. Such records and documentation shall be retained by Licensee for at least three (3) years or such longer period as may be required by Applicable Law.</w:t>
      </w:r>
    </w:p>
    <w:p>
      <w:pPr>
        <w:spacing w:after="0" w:line="187" w:lineRule="exact"/>
        <w:rPr>
          <w:sz w:val="20"/>
          <w:szCs w:val="20"/>
          <w:color w:val="auto"/>
        </w:rPr>
      </w:pPr>
    </w:p>
    <w:p>
      <w:pPr>
        <w:jc w:val="both"/>
        <w:ind w:left="600" w:hanging="635"/>
        <w:spacing w:after="0" w:line="249" w:lineRule="auto"/>
        <w:tabs>
          <w:tab w:leader="none" w:pos="5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Regulatory Audits</w:t>
      </w:r>
      <w:r>
        <w:rPr>
          <w:rFonts w:ascii="Arial" w:cs="Arial" w:eastAsia="Arial" w:hAnsi="Arial"/>
          <w:sz w:val="18"/>
          <w:szCs w:val="18"/>
          <w:color w:val="auto"/>
        </w:rPr>
        <w:t>. During the period commencing on the Effective Date and continuing until the expiration or termination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Agreement, X4 shall have the right, through itself or its nominee, during normal business hours and upon reasonable notice, to inspect any regulatory records and correspondence kept by Licensee, its Affiliates or sublicensees in accordance with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Any such audit may not be conducted more than once in any twelve (12) month period. The cost of any audit shall be borne by X4. Notwithstanding the foregoing, to the extent that Licensee does not have the right to grant X4 the right to audit the records of any of its sublicensees hereunder, Licensee shall obtain for itself such right and, at X4’s request, Licensee shall, subject to the limitations set forth in this </w:t>
      </w:r>
      <w:r>
        <w:rPr>
          <w:rFonts w:ascii="Arial" w:cs="Arial" w:eastAsia="Arial" w:hAnsi="Arial"/>
          <w:sz w:val="18"/>
          <w:szCs w:val="18"/>
          <w:u w:val="single" w:color="auto"/>
          <w:color w:val="auto"/>
        </w:rPr>
        <w:t>Section 8.4</w:t>
      </w:r>
      <w:r>
        <w:rPr>
          <w:rFonts w:ascii="Arial" w:cs="Arial" w:eastAsia="Arial" w:hAnsi="Arial"/>
          <w:sz w:val="18"/>
          <w:szCs w:val="18"/>
          <w:color w:val="auto"/>
        </w:rPr>
        <w:t>, exercise such audit right with respect to such sublicensees and shall provide the results of such audit to X4. X4 may disclose the results of such audit to the extent strictly necessary to fulfil its obligations under the Head License.</w:t>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Product Packaging and Labelling</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53" w:lineRule="auto"/>
        <w:tabs>
          <w:tab w:leader="none" w:pos="1260" w:val="left"/>
        </w:tabs>
        <w:rPr>
          <w:sz w:val="20"/>
          <w:szCs w:val="20"/>
          <w:color w:val="auto"/>
        </w:rPr>
      </w:pPr>
      <w:r>
        <w:rPr>
          <w:rFonts w:ascii="Arial" w:cs="Arial" w:eastAsia="Arial" w:hAnsi="Arial"/>
          <w:sz w:val="18"/>
          <w:szCs w:val="18"/>
          <w:color w:val="auto"/>
        </w:rPr>
        <w:t>8.5.1</w:t>
        <w:tab/>
        <w:t xml:space="preserve">X4 will provide Licensed Product in “brite stock” format. Licensee shall have sole responsibility to ensure, following delivery of Licensed Product pursuant to </w:t>
      </w:r>
      <w:r>
        <w:rPr>
          <w:rFonts w:ascii="Arial" w:cs="Arial" w:eastAsia="Arial" w:hAnsi="Arial"/>
          <w:sz w:val="18"/>
          <w:szCs w:val="18"/>
          <w:u w:val="single" w:color="auto"/>
          <w:color w:val="auto"/>
        </w:rPr>
        <w:t>Article 4</w:t>
      </w:r>
      <w:r>
        <w:rPr>
          <w:rFonts w:ascii="Arial" w:cs="Arial" w:eastAsia="Arial" w:hAnsi="Arial"/>
          <w:sz w:val="18"/>
          <w:szCs w:val="18"/>
          <w:color w:val="auto"/>
        </w:rPr>
        <w:t>, that all Licensed Product has the necessary Licensed Product Packaging information (including local artwork, codes for serialization and barcoding of the Licensed Product) to ensure the Packaging of the Licensed Product is in compliance with the Quality Agreement, all Applicable Law in the Territory and rules and regulations of all Relevant Regulatory Authorities in the Territory.</w:t>
      </w:r>
    </w:p>
    <w:p>
      <w:pPr>
        <w:spacing w:after="0" w:line="181" w:lineRule="exact"/>
        <w:rPr>
          <w:sz w:val="20"/>
          <w:szCs w:val="20"/>
          <w:color w:val="auto"/>
        </w:rPr>
      </w:pPr>
    </w:p>
    <w:p>
      <w:pPr>
        <w:jc w:val="both"/>
        <w:ind w:left="1240" w:hanging="635"/>
        <w:spacing w:after="0" w:line="304" w:lineRule="auto"/>
        <w:tabs>
          <w:tab w:leader="none" w:pos="1220" w:val="left"/>
        </w:tabs>
        <w:rPr>
          <w:sz w:val="20"/>
          <w:szCs w:val="20"/>
          <w:color w:val="auto"/>
        </w:rPr>
      </w:pPr>
      <w:r>
        <w:rPr>
          <w:rFonts w:ascii="Arial" w:cs="Arial" w:eastAsia="Arial" w:hAnsi="Arial"/>
          <w:sz w:val="18"/>
          <w:szCs w:val="18"/>
          <w:color w:val="auto"/>
        </w:rPr>
        <w:t>8.5.2</w:t>
      </w:r>
      <w:r>
        <w:rPr>
          <w:sz w:val="20"/>
          <w:szCs w:val="20"/>
          <w:color w:val="auto"/>
        </w:rPr>
        <w:tab/>
      </w:r>
      <w:r>
        <w:rPr>
          <w:rFonts w:ascii="Arial" w:cs="Arial" w:eastAsia="Arial" w:hAnsi="Arial"/>
          <w:sz w:val="17"/>
          <w:szCs w:val="17"/>
          <w:color w:val="auto"/>
        </w:rPr>
        <w:t>To the extent required by Applicable Law in a country in the Territory, the promotional materials and Packaging for the Licensed Product used by Licensee, its sublicensees or its or their respective Affiliates in connection with the Licensed Product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369570</wp:posOffset>
            </wp:positionV>
            <wp:extent cx="7134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95" w:right="339" w:bottom="1440" w:gutter="0" w:footer="0" w:header="0"/>
        </w:sectPr>
      </w:pPr>
    </w:p>
    <w:bookmarkStart w:id="154" w:name="page155"/>
    <w:bookmarkEnd w:id="154"/>
    <w:p>
      <w:pPr>
        <w:jc w:val="both"/>
        <w:ind w:left="12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0">
                      <a:extLst>
                        <a:ext uri="{28A0092B-C50C-407E-A947-70E740481C1C}"/>
                      </a:extLst>
                    </a:blip>
                    <a:srcRect/>
                    <a:stretch>
                      <a:fillRect/>
                    </a:stretch>
                  </pic:blipFill>
                  <pic:spPr bwMode="auto">
                    <a:xfrm>
                      <a:off x="0" y="0"/>
                      <a:ext cx="7134860" cy="8255"/>
                    </a:xfrm>
                    <a:prstGeom prst="rect">
                      <a:avLst/>
                    </a:prstGeom>
                    <a:noFill/>
                  </pic:spPr>
                </pic:pic>
              </a:graphicData>
            </a:graphic>
          </wp:anchor>
        </w:drawing>
        <w:t>country shall contain (a) the Genzyme corporate name and (b) the logo and corporate name of the manufacturer (collectively, the “</w:t>
      </w:r>
      <w:r>
        <w:rPr>
          <w:rFonts w:ascii="Arial" w:cs="Arial" w:eastAsia="Arial" w:hAnsi="Arial"/>
          <w:sz w:val="18"/>
          <w:szCs w:val="18"/>
          <w:b w:val="1"/>
          <w:bCs w:val="1"/>
          <w:color w:val="auto"/>
        </w:rPr>
        <w:t>Markings</w:t>
      </w:r>
      <w:r>
        <w:rPr>
          <w:rFonts w:ascii="Arial" w:cs="Arial" w:eastAsia="Arial" w:hAnsi="Arial"/>
          <w:sz w:val="18"/>
          <w:szCs w:val="18"/>
          <w:color w:val="auto"/>
        </w:rPr>
        <w:t xml:space="preserve">”). The manner in which the Markings and, if applicable, Alternative Trademarks, are to be presented on promotional materials and Packaging for the Licensed Product shall be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75" w:lineRule="exact"/>
        <w:rPr>
          <w:sz w:val="20"/>
          <w:szCs w:val="20"/>
          <w:color w:val="auto"/>
        </w:rPr>
      </w:pPr>
    </w:p>
    <w:p>
      <w:pPr>
        <w:jc w:val="both"/>
        <w:ind w:left="480" w:hanging="635"/>
        <w:spacing w:after="0" w:line="260" w:lineRule="auto"/>
        <w:tabs>
          <w:tab w:leader="none" w:pos="4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u w:val="single" w:color="auto"/>
          <w:color w:val="auto"/>
        </w:rPr>
        <w:t>Handling of Licensed Product</w:t>
      </w:r>
      <w:r>
        <w:rPr>
          <w:rFonts w:ascii="Arial" w:cs="Arial" w:eastAsia="Arial" w:hAnsi="Arial"/>
          <w:sz w:val="18"/>
          <w:szCs w:val="18"/>
          <w:color w:val="auto"/>
        </w:rPr>
        <w:t>. Licensee undertakes that after delivery the Licensed Product shall be handled and stored in accordance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the Applicable Laws, GDP, the Quality Agreement, the requirements of Regulatory Authorities and any relevant information provided by X4.</w:t>
      </w:r>
    </w:p>
    <w:p>
      <w:pPr>
        <w:spacing w:after="0" w:line="175" w:lineRule="exact"/>
        <w:rPr>
          <w:sz w:val="20"/>
          <w:szCs w:val="20"/>
          <w:color w:val="auto"/>
        </w:rPr>
      </w:pPr>
    </w:p>
    <w:p>
      <w:pPr>
        <w:jc w:val="both"/>
        <w:ind w:left="480" w:hanging="635"/>
        <w:spacing w:after="0" w:line="260" w:lineRule="auto"/>
        <w:tabs>
          <w:tab w:leader="none" w:pos="4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u w:val="single" w:color="auto"/>
          <w:color w:val="auto"/>
        </w:rPr>
        <w:t>No Changes</w:t>
      </w:r>
      <w:r>
        <w:rPr>
          <w:rFonts w:ascii="Arial" w:cs="Arial" w:eastAsia="Arial" w:hAnsi="Arial"/>
          <w:sz w:val="18"/>
          <w:szCs w:val="18"/>
          <w:color w:val="auto"/>
        </w:rPr>
        <w:t>. Other than to comply with Applicable Law, Licensee undertakes not to make or cause any changes to the Specifications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therapeutic indications, of the Licensed Product that is delivered to Licensee or its Affiliates without previously acquiring X4's written consent, such consent not to be unreasonably withheld, delayed or conditioned.</w:t>
      </w:r>
    </w:p>
    <w:p>
      <w:pPr>
        <w:spacing w:after="0" w:line="175" w:lineRule="exact"/>
        <w:rPr>
          <w:sz w:val="20"/>
          <w:szCs w:val="20"/>
          <w:color w:val="auto"/>
        </w:rPr>
      </w:pPr>
    </w:p>
    <w:p>
      <w:pPr>
        <w:jc w:val="both"/>
        <w:ind w:left="520" w:hanging="635"/>
        <w:spacing w:after="0" w:line="274" w:lineRule="auto"/>
        <w:tabs>
          <w:tab w:leader="none" w:pos="5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u w:val="single" w:color="auto"/>
          <w:color w:val="auto"/>
        </w:rPr>
        <w:t>Compliance</w:t>
      </w:r>
      <w:r>
        <w:rPr>
          <w:rFonts w:ascii="Arial" w:cs="Arial" w:eastAsia="Arial" w:hAnsi="Arial"/>
          <w:sz w:val="18"/>
          <w:szCs w:val="18"/>
          <w:color w:val="auto"/>
        </w:rPr>
        <w:t>. Each Party shall, from time to time at the request of the other Party, provide such other Party with that Party’s Code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Business Ethics for review.</w:t>
      </w:r>
    </w:p>
    <w:p>
      <w:pPr>
        <w:spacing w:after="0" w:line="161" w:lineRule="exact"/>
        <w:rPr>
          <w:sz w:val="20"/>
          <w:szCs w:val="20"/>
          <w:color w:val="auto"/>
        </w:rPr>
      </w:pPr>
    </w:p>
    <w:p>
      <w:pPr>
        <w:ind w:left="340" w:hanging="334"/>
        <w:spacing w:after="0"/>
        <w:tabs>
          <w:tab w:leader="none" w:pos="3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19" w:lineRule="exact"/>
        <w:rPr>
          <w:sz w:val="20"/>
          <w:szCs w:val="20"/>
          <w:color w:val="auto"/>
        </w:rPr>
      </w:pPr>
    </w:p>
    <w:p>
      <w:pPr>
        <w:jc w:val="both"/>
        <w:ind w:left="520" w:hanging="635"/>
        <w:spacing w:after="0" w:line="250" w:lineRule="auto"/>
        <w:tabs>
          <w:tab w:leader="none" w:pos="5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 Subject to the other provisions of this</w:t>
      </w:r>
      <w:r>
        <w:rPr>
          <w:rFonts w:ascii="Arial" w:cs="Arial" w:eastAsia="Arial" w:hAnsi="Arial"/>
          <w:sz w:val="18"/>
          <w:szCs w:val="18"/>
          <w:u w:val="single" w:color="auto"/>
          <w:color w:val="auto"/>
        </w:rPr>
        <w:t xml:space="preserve"> Article 9</w:t>
      </w:r>
      <w:r>
        <w:rPr>
          <w:rFonts w:ascii="Arial" w:cs="Arial" w:eastAsia="Arial" w:hAnsi="Arial"/>
          <w:sz w:val="18"/>
          <w:szCs w:val="18"/>
          <w:color w:val="auto"/>
        </w:rPr>
        <w:t>, all Confidential Information disclosed by a Disclosing Party under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Agreement will be kept confidential and not be published or otherwise disclosed, and not used, directly or indirectly except the extent such disclosure or use is expressly permitted by the terms of this Agreement or such use is reasonably necessary pursuant to the rights granted to, or performance of obligations by, the Recipient Party under this Agreement. Subject to the other provisions of this </w:t>
      </w:r>
      <w:r>
        <w:rPr>
          <w:rFonts w:ascii="Arial" w:cs="Arial" w:eastAsia="Arial" w:hAnsi="Arial"/>
          <w:sz w:val="18"/>
          <w:szCs w:val="18"/>
          <w:u w:val="single" w:color="auto"/>
          <w:color w:val="auto"/>
        </w:rPr>
        <w:t>Article 9</w:t>
      </w:r>
      <w:r>
        <w:rPr>
          <w:rFonts w:ascii="Arial" w:cs="Arial" w:eastAsia="Arial" w:hAnsi="Arial"/>
          <w:sz w:val="18"/>
          <w:szCs w:val="18"/>
          <w:color w:val="auto"/>
        </w:rPr>
        <w:t>, each Party and its Affiliates shall hold as confidential such Confidential Information of the other Party or its Affiliates in the same manner and with the same protection as such Recipient Party maintains its own confidential information but in no event with less than a reasonable degree of care.</w:t>
      </w:r>
    </w:p>
    <w:p>
      <w:pPr>
        <w:spacing w:after="0" w:line="1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Exceptions</w:t>
      </w:r>
      <w:r>
        <w:rPr>
          <w:rFonts w:ascii="Arial" w:cs="Arial" w:eastAsia="Arial" w:hAnsi="Arial"/>
          <w:sz w:val="17"/>
          <w:szCs w:val="17"/>
          <w:color w:val="auto"/>
        </w:rPr>
        <w:t>. The obligations under this</w:t>
      </w:r>
      <w:r>
        <w:rPr>
          <w:rFonts w:ascii="Arial" w:cs="Arial" w:eastAsia="Arial" w:hAnsi="Arial"/>
          <w:sz w:val="17"/>
          <w:szCs w:val="17"/>
          <w:u w:val="single" w:color="auto"/>
          <w:color w:val="auto"/>
        </w:rPr>
        <w:t xml:space="preserve"> Article 9 </w:t>
      </w:r>
      <w:r>
        <w:rPr>
          <w:rFonts w:ascii="Arial" w:cs="Arial" w:eastAsia="Arial" w:hAnsi="Arial"/>
          <w:sz w:val="17"/>
          <w:szCs w:val="17"/>
          <w:color w:val="auto"/>
        </w:rPr>
        <w:t>shall not apply to any information to the extent that such information:</w:t>
      </w:r>
    </w:p>
    <w:p>
      <w:pPr>
        <w:spacing w:after="0" w:line="217" w:lineRule="exact"/>
        <w:rPr>
          <w:sz w:val="20"/>
          <w:szCs w:val="20"/>
          <w:color w:val="auto"/>
        </w:rPr>
      </w:pPr>
    </w:p>
    <w:p>
      <w:pPr>
        <w:jc w:val="both"/>
        <w:ind w:left="1260" w:hanging="635"/>
        <w:spacing w:after="0" w:line="274" w:lineRule="auto"/>
        <w:tabs>
          <w:tab w:leader="none" w:pos="1240" w:val="left"/>
        </w:tabs>
        <w:rPr>
          <w:sz w:val="20"/>
          <w:szCs w:val="20"/>
          <w:color w:val="auto"/>
        </w:rPr>
      </w:pPr>
      <w:r>
        <w:rPr>
          <w:rFonts w:ascii="Arial" w:cs="Arial" w:eastAsia="Arial" w:hAnsi="Arial"/>
          <w:sz w:val="18"/>
          <w:szCs w:val="18"/>
          <w:color w:val="auto"/>
        </w:rPr>
        <w:t>9.2.1</w:t>
        <w:tab/>
        <w:t>is (at the time of disclosure) or becomes (after the time of disclosure) known to the public or part of the public domain through no wrongful act, fault or negligence on the part of the Recipient Party;</w:t>
      </w:r>
    </w:p>
    <w:p>
      <w:pPr>
        <w:spacing w:after="0" w:line="163" w:lineRule="exact"/>
        <w:rPr>
          <w:sz w:val="20"/>
          <w:szCs w:val="20"/>
          <w:color w:val="auto"/>
        </w:rPr>
      </w:pPr>
    </w:p>
    <w:p>
      <w:pPr>
        <w:jc w:val="both"/>
        <w:ind w:left="1260" w:hanging="635"/>
        <w:spacing w:after="0" w:line="260" w:lineRule="auto"/>
        <w:tabs>
          <w:tab w:leader="none" w:pos="1240" w:val="left"/>
        </w:tabs>
        <w:rPr>
          <w:sz w:val="20"/>
          <w:szCs w:val="20"/>
          <w:color w:val="auto"/>
        </w:rPr>
      </w:pPr>
      <w:r>
        <w:rPr>
          <w:rFonts w:ascii="Arial" w:cs="Arial" w:eastAsia="Arial" w:hAnsi="Arial"/>
          <w:sz w:val="18"/>
          <w:szCs w:val="18"/>
          <w:color w:val="auto"/>
        </w:rPr>
        <w:t>9.2.2</w:t>
        <w:tab/>
        <w:t>was known to, or was otherwise in the possession of, the Recipient Party prior to the time of disclosure by the Disclosing Party without any obligation of confidentiality to the Disclosing Party with respect to such information, as demonstrated by documentation or other competent evidence;</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9.2.3</w:t>
        <w:tab/>
        <w:t>is disclosed to the Recipient Party on a non-confidential basis by a Third Party who is entitled to disclose it without breaching any confidentiality obligation to the Disclosing Party with respect to such information; or</w:t>
      </w:r>
    </w:p>
    <w:p>
      <w:pPr>
        <w:spacing w:after="0" w:line="163" w:lineRule="exact"/>
        <w:rPr>
          <w:sz w:val="20"/>
          <w:szCs w:val="20"/>
          <w:color w:val="auto"/>
        </w:rPr>
      </w:pPr>
    </w:p>
    <w:p>
      <w:pPr>
        <w:jc w:val="both"/>
        <w:ind w:left="1240" w:hanging="635"/>
        <w:spacing w:after="0" w:line="274" w:lineRule="auto"/>
        <w:tabs>
          <w:tab w:leader="none" w:pos="1220" w:val="left"/>
        </w:tabs>
        <w:rPr>
          <w:sz w:val="20"/>
          <w:szCs w:val="20"/>
          <w:color w:val="auto"/>
        </w:rPr>
      </w:pPr>
      <w:r>
        <w:rPr>
          <w:rFonts w:ascii="Arial" w:cs="Arial" w:eastAsia="Arial" w:hAnsi="Arial"/>
          <w:sz w:val="18"/>
          <w:szCs w:val="18"/>
          <w:color w:val="auto"/>
        </w:rPr>
        <w:t>9.2.4</w:t>
        <w:tab/>
        <w:t>is independently developed by or on behalf of the Recipient Party, as evidenced by documentation or other competent evidence, without reference to the Confidential Information disclosed by the Disclosing Party under this Agreement.</w:t>
      </w:r>
    </w:p>
    <w:p>
      <w:pPr>
        <w:spacing w:after="0" w:line="163"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color w:val="auto"/>
        </w:rPr>
        <w:t>Specific aspects or details of Confidential Information shall not be deemed to be within the public domain or in the possession of the Recipient Party merely because the Confidential Information is embraced by more general information in the public domain or in the possession of the Recipient Party. Further, any combination of Confidential Information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95" w:right="339" w:bottom="1440" w:gutter="0" w:footer="0" w:header="0"/>
        </w:sectPr>
      </w:pPr>
    </w:p>
    <w:bookmarkStart w:id="155" w:name="page156"/>
    <w:bookmarkEnd w:id="155"/>
    <w:p>
      <w:pPr>
        <w:jc w:val="both"/>
        <w:ind w:left="64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2">
                      <a:extLst>
                        <a:ext uri="{28A0092B-C50C-407E-A947-70E740481C1C}"/>
                      </a:extLst>
                    </a:blip>
                    <a:srcRect/>
                    <a:stretch>
                      <a:fillRect/>
                    </a:stretch>
                  </pic:blipFill>
                  <pic:spPr bwMode="auto">
                    <a:xfrm>
                      <a:off x="0" y="0"/>
                      <a:ext cx="7134860" cy="8255"/>
                    </a:xfrm>
                    <a:prstGeom prst="rect">
                      <a:avLst/>
                    </a:prstGeom>
                    <a:noFill/>
                  </pic:spPr>
                </pic:pic>
              </a:graphicData>
            </a:graphic>
          </wp:anchor>
        </w:drawing>
        <w:t>not be considered in the public domain or in the possession of the Recipient Party merely because individual elements of such Confidential Information are in the public domain or in the possession of the Recipient Party unless the combination and its principles are in the public domain or in the possession of the Recipient Party.</w:t>
      </w:r>
    </w:p>
    <w:p>
      <w:pPr>
        <w:spacing w:after="0" w:line="17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Authorized Disclosures</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53" w:lineRule="auto"/>
        <w:tabs>
          <w:tab w:leader="none" w:pos="1260" w:val="left"/>
        </w:tabs>
        <w:rPr>
          <w:sz w:val="20"/>
          <w:szCs w:val="20"/>
          <w:color w:val="auto"/>
        </w:rPr>
      </w:pPr>
      <w:r>
        <w:rPr>
          <w:rFonts w:ascii="Arial" w:cs="Arial" w:eastAsia="Arial" w:hAnsi="Arial"/>
          <w:sz w:val="18"/>
          <w:szCs w:val="18"/>
          <w:color w:val="auto"/>
        </w:rPr>
        <w:t>9.3.1</w:t>
        <w:tab/>
        <w:t xml:space="preserve">In addition to disclosures permitted under </w:t>
      </w:r>
      <w:r>
        <w:rPr>
          <w:rFonts w:ascii="Arial" w:cs="Arial" w:eastAsia="Arial" w:hAnsi="Arial"/>
          <w:sz w:val="18"/>
          <w:szCs w:val="18"/>
          <w:u w:val="single" w:color="auto"/>
          <w:color w:val="auto"/>
        </w:rPr>
        <w:t>Section 9.2</w:t>
      </w:r>
      <w:r>
        <w:rPr>
          <w:rFonts w:ascii="Arial" w:cs="Arial" w:eastAsia="Arial" w:hAnsi="Arial"/>
          <w:sz w:val="18"/>
          <w:szCs w:val="18"/>
          <w:color w:val="auto"/>
        </w:rPr>
        <w:t>, Licensee may disclose Confidential Information belonging to X4 or its Affiliates to the extent such disclosure is necessary in the following instances: (i) filing or prosecuting and maintaining Patents (including the Licensed Patents) as permitted by this Agreement; (ii) in connection with regulatory filings for the Licensed Product; (iii) prosecuting or defending litigation as permitted by this Agreement; or (iii) complying with applicable court orders or law.</w:t>
      </w:r>
    </w:p>
    <w:p>
      <w:pPr>
        <w:spacing w:after="0" w:line="181" w:lineRule="exact"/>
        <w:rPr>
          <w:sz w:val="20"/>
          <w:szCs w:val="20"/>
          <w:color w:val="auto"/>
        </w:rPr>
      </w:pPr>
    </w:p>
    <w:p>
      <w:pPr>
        <w:jc w:val="both"/>
        <w:ind w:left="1240" w:hanging="635"/>
        <w:spacing w:after="0" w:line="274" w:lineRule="auto"/>
        <w:tabs>
          <w:tab w:leader="none" w:pos="1220" w:val="left"/>
        </w:tabs>
        <w:rPr>
          <w:sz w:val="20"/>
          <w:szCs w:val="20"/>
          <w:color w:val="auto"/>
        </w:rPr>
      </w:pPr>
      <w:r>
        <w:rPr>
          <w:rFonts w:ascii="Arial" w:cs="Arial" w:eastAsia="Arial" w:hAnsi="Arial"/>
          <w:sz w:val="18"/>
          <w:szCs w:val="18"/>
          <w:color w:val="auto"/>
        </w:rPr>
        <w:t>9.3.2</w:t>
        <w:tab/>
        <w:t>In addition, X4 may disclose Confidential Information belonging to Licensee to the extent such disclosure is strictly necessary for compliance with the Head License.</w:t>
      </w:r>
    </w:p>
    <w:p>
      <w:pPr>
        <w:spacing w:after="0" w:line="163" w:lineRule="exact"/>
        <w:rPr>
          <w:sz w:val="20"/>
          <w:szCs w:val="20"/>
          <w:color w:val="auto"/>
        </w:rPr>
      </w:pPr>
    </w:p>
    <w:p>
      <w:pPr>
        <w:jc w:val="both"/>
        <w:ind w:left="1280" w:hanging="635"/>
        <w:spacing w:after="0" w:line="251" w:lineRule="auto"/>
        <w:tabs>
          <w:tab w:leader="none" w:pos="1260" w:val="left"/>
        </w:tabs>
        <w:rPr>
          <w:sz w:val="20"/>
          <w:szCs w:val="20"/>
          <w:color w:val="auto"/>
        </w:rPr>
      </w:pPr>
      <w:r>
        <w:rPr>
          <w:rFonts w:ascii="Arial" w:cs="Arial" w:eastAsia="Arial" w:hAnsi="Arial"/>
          <w:sz w:val="18"/>
          <w:szCs w:val="18"/>
          <w:color w:val="auto"/>
        </w:rPr>
        <w:t>9.3.3</w:t>
        <w:tab/>
        <w:t xml:space="preserve">In addition, a Recipient Party may disclose Confidential Information of the Disclosing Party (including the existence of this Agreement) to its and its Affiliates’ (i) officers, directors, employees, agents, contractors, consultants, and advisers, (ii)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prospective or actual underwriters, lenders, acquirers, merger candidates, actual or prospective investors or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and (iii) its Affiliates and actual or prospective sublicensees, in each case provided that such persons are bound to maintain the confidentiality of the Confidential Information in a manner consistent with the confidentiality provisions of this Agreement.</w:t>
      </w:r>
    </w:p>
    <w:p>
      <w:pPr>
        <w:spacing w:after="0" w:line="185" w:lineRule="exact"/>
        <w:rPr>
          <w:sz w:val="20"/>
          <w:szCs w:val="20"/>
          <w:color w:val="auto"/>
        </w:rPr>
      </w:pPr>
    </w:p>
    <w:p>
      <w:pPr>
        <w:jc w:val="both"/>
        <w:ind w:left="1240" w:hanging="635"/>
        <w:spacing w:after="0" w:line="248" w:lineRule="auto"/>
        <w:tabs>
          <w:tab w:leader="none" w:pos="1220" w:val="left"/>
        </w:tabs>
        <w:rPr>
          <w:sz w:val="20"/>
          <w:szCs w:val="20"/>
          <w:color w:val="auto"/>
        </w:rPr>
      </w:pPr>
      <w:r>
        <w:rPr>
          <w:rFonts w:ascii="Arial" w:cs="Arial" w:eastAsia="Arial" w:hAnsi="Arial"/>
          <w:sz w:val="18"/>
          <w:szCs w:val="18"/>
          <w:color w:val="auto"/>
        </w:rPr>
        <w:t>9.3.4</w:t>
        <w:tab/>
        <w:t>In the event the Recipient Party is required to disclose Confidential Information of the Disclosing Party (including this Agreement or any provision of it) by law, by a valid order of a court of competent jurisdiction or other supra-national, federal, national, regional, state, provincial and local government or regulatory body of competent jurisdiction, or if in the reasonable opinion of the Receiving Party’s legal counsel, such disclosure is otherwise required by Applicable Law, or pursuant to the rules of any recognized stock exchange or similar regulatory body, such disclosure shall not be a breach of this Agreement; provided, that the Recipient Party: (i) informs the Disclosing Party, to the extent legally permitted, as soon as reasonably practicable of the required disclosure; (ii) limits the disclosure to the information that is legally required to be disclosed; (iii) at the Disclosing Party's request and expense, assists in an attempt to object to or limit the required disclosure; and (iv) consults with the Disclosing Party on the provisions of this Agreement, together with the Schedules or other attachments attached hereto, to be redacted in any filings made by X4 or Licensee with the Securities and Exchange Commission or any other regulatory body or relevant securities regulator or as otherwise required by Applicable Law.</w:t>
      </w:r>
    </w:p>
    <w:p>
      <w:pPr>
        <w:spacing w:after="0" w:line="191" w:lineRule="exact"/>
        <w:rPr>
          <w:sz w:val="20"/>
          <w:szCs w:val="20"/>
          <w:color w:val="auto"/>
        </w:rPr>
      </w:pPr>
    </w:p>
    <w:p>
      <w:pPr>
        <w:jc w:val="both"/>
        <w:ind w:left="460" w:hanging="635"/>
        <w:spacing w:after="0" w:line="249" w:lineRule="auto"/>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 xml:space="preserve">Use of Names. </w:t>
      </w:r>
      <w:r>
        <w:rPr>
          <w:rFonts w:ascii="Arial" w:cs="Arial" w:eastAsia="Arial" w:hAnsi="Arial"/>
          <w:sz w:val="18"/>
          <w:szCs w:val="18"/>
          <w:color w:val="auto"/>
        </w:rPr>
        <w:t>Except as expressly provided in this Agreement, neither Party shall mention or otherwise use the name, insignia, symbol,</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trademark of the other Party (or any abbreviation or adaptation thereof) in any publication, press release, marketing and promotional material or other form of publicity without the prior written approval of such other Party in each instance, such approval not to be unreasonably conditioned, withheld or delayed. The restrictions imposed by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not prohibit either Party from making any disclosure (a) identifying the other Party as a counterparty to this Agreement to its investors; (b) that is required by Applicable Law or other requirements of a national securities exchange or another similar regulatory body; or (c) with respect to which written consent has previously been obtained. Further, the restrictions imposed on each Party under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are not intended, and shall not be construed, to prohibit a Party from identifying the other Party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400685</wp:posOffset>
            </wp:positionV>
            <wp:extent cx="71348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95" w:right="339" w:bottom="1440" w:gutter="0" w:footer="0" w:header="0"/>
        </w:sectPr>
      </w:pPr>
    </w:p>
    <w:bookmarkStart w:id="156" w:name="page157"/>
    <w:bookmarkEnd w:id="156"/>
    <w:p>
      <w:pPr>
        <w:ind w:left="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4">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internal business communications, provided that any Confidential Information in such communications remains subject to this </w:t>
      </w:r>
      <w:r>
        <w:rPr>
          <w:rFonts w:ascii="Arial" w:cs="Arial" w:eastAsia="Arial" w:hAnsi="Arial"/>
          <w:sz w:val="17"/>
          <w:szCs w:val="17"/>
          <w:u w:val="single" w:color="auto"/>
          <w:color w:val="auto"/>
        </w:rPr>
        <w:t>Article 9</w:t>
      </w:r>
      <w:r>
        <w:rPr>
          <w:rFonts w:ascii="Arial" w:cs="Arial" w:eastAsia="Arial" w:hAnsi="Arial"/>
          <w:sz w:val="17"/>
          <w:szCs w:val="17"/>
          <w:color w:val="auto"/>
        </w:rPr>
        <w:t>.</w:t>
      </w:r>
    </w:p>
    <w:p>
      <w:pPr>
        <w:spacing w:after="0" w:line="229" w:lineRule="exact"/>
        <w:rPr>
          <w:sz w:val="20"/>
          <w:szCs w:val="20"/>
          <w:color w:val="auto"/>
        </w:rPr>
      </w:pPr>
    </w:p>
    <w:p>
      <w:pPr>
        <w:jc w:val="both"/>
        <w:ind w:left="500" w:hanging="635"/>
        <w:spacing w:after="0" w:line="247" w:lineRule="auto"/>
        <w:tabs>
          <w:tab w:leader="none" w:pos="4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Press Release</w:t>
      </w:r>
      <w:r>
        <w:rPr>
          <w:rFonts w:ascii="Arial" w:cs="Arial" w:eastAsia="Arial" w:hAnsi="Arial"/>
          <w:sz w:val="18"/>
          <w:szCs w:val="18"/>
          <w:color w:val="auto"/>
        </w:rPr>
        <w:t>. Subject to Applicable Law, neither Party may issue a press release or announcement in respect of this Agreement,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transactions contemplated by it or the activities of the Parties under or in connection with this Agreement, without the prior written approval of the other Party (such approval not to be unreasonably withheld, conditioned or delayed) except as required by Applicable Law as reasonably advised by the issuing Party’s counsel (provided that the other Party is given a reasonable opportunity to review and comment on any such press release or public communication in advance thereof to the extent legally permitted and the issuing Party shall act in good faith to incorporate any reasonable comments provided by the other Party on such press release or public communication) or to the extent such disclosure is required by Applicable Law or the rules or regulations of Nasdaq or any United States national (or foreign) securities exchange on which shares are then traded, in which case the issuing Party shall use its commercially reasonable efforts to consult with the other Party before issuing any press release or making any such public statements. The Parties acknowledge that it is the intention of each Party to issue a press release following the execution of this Agreement. Following the publication of such press release (whether by one Party or jointly), subject to Applicable Law, neither Party will issue a press release or public announcement relating to this Agreement without the prior written approval of the other Party (such approval not to be unreasonably withheld, conditioned, or delayed), except that a Party may, once a press release or public announcement is approved in writing by both Parties, make subsequent public disclosure of the information contained in such press release or public announcement without the further approval of the other Party.</w:t>
      </w:r>
    </w:p>
    <w:p>
      <w:pPr>
        <w:spacing w:after="0" w:line="197" w:lineRule="exact"/>
        <w:rPr>
          <w:sz w:val="20"/>
          <w:szCs w:val="20"/>
          <w:color w:val="auto"/>
        </w:rPr>
      </w:pPr>
    </w:p>
    <w:p>
      <w:pPr>
        <w:jc w:val="both"/>
        <w:ind w:left="480" w:hanging="635"/>
        <w:spacing w:after="0" w:line="247" w:lineRule="auto"/>
        <w:tabs>
          <w:tab w:leader="none" w:pos="4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u w:val="single" w:color="auto"/>
          <w:color w:val="auto"/>
        </w:rPr>
        <w:t>Publication</w:t>
      </w:r>
      <w:r>
        <w:rPr>
          <w:rFonts w:ascii="Arial" w:cs="Arial" w:eastAsia="Arial" w:hAnsi="Arial"/>
          <w:sz w:val="18"/>
          <w:szCs w:val="18"/>
          <w:color w:val="auto"/>
        </w:rPr>
        <w:t>. Each Party acknowledges that the other Party’s personnel may desire to publish in scientific journals or present at scientific</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conferences scientific, preclinical or clinical data derived from research and development related to the Licensed Products conducted in accordance with the terms of this Agreement. Accordingly, no such publication will be submitted and no such presentation shall be made unless a written copy of such proposed publication or presentation is submitted by the Party wishing to publish (“</w:t>
      </w:r>
      <w:r>
        <w:rPr>
          <w:rFonts w:ascii="Arial" w:cs="Arial" w:eastAsia="Arial" w:hAnsi="Arial"/>
          <w:sz w:val="18"/>
          <w:szCs w:val="18"/>
          <w:b w:val="1"/>
          <w:bCs w:val="1"/>
          <w:color w:val="auto"/>
        </w:rPr>
        <w:t>Publishing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to the other Party (“</w:t>
      </w:r>
      <w:r>
        <w:rPr>
          <w:rFonts w:ascii="Arial" w:cs="Arial" w:eastAsia="Arial" w:hAnsi="Arial"/>
          <w:sz w:val="18"/>
          <w:szCs w:val="18"/>
          <w:b w:val="1"/>
          <w:bCs w:val="1"/>
          <w:color w:val="auto"/>
        </w:rPr>
        <w:t>Consulted Party</w:t>
      </w:r>
      <w:r>
        <w:rPr>
          <w:rFonts w:ascii="Arial" w:cs="Arial" w:eastAsia="Arial" w:hAnsi="Arial"/>
          <w:sz w:val="18"/>
          <w:szCs w:val="18"/>
          <w:color w:val="auto"/>
        </w:rPr>
        <w:t>”) no later than [***] days before submission for publication or presentation. The Consulted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shall notify the Publishing Party in writing within [***] days of receipt of such draft whether such draft contains (a) information of the Consulted Party which it considers to be Confidential Information; (b) information that if published would have an adverse effect on a patent application covering the subject matter of this Agreement; or (c) information that such Consulted Party reasonably believes would be likely to have a material adverse impact on the development, manufacture or commercialization of a Licensed Product, or the exploitation of rights retained under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In the case of item (a) above, the Publishing Party may not publish Confidential Information of the Consulted Party without its prior written consent. In the case of item (b) above, the Consulted Party may request a delay and the Publishing Party shall delay such publication or presentation, for a period not exceeding [***] days, to permit the timely preparation and filing of a patent application or an application for a certificate of invention covering the information at issue. In the case of item (c) above, if the Publishing Party disagrees with the Consulted Party’s assessment of the impact of the publication or presentation, then the issue shall be resolved pursuant to </w:t>
      </w:r>
      <w:r>
        <w:rPr>
          <w:rFonts w:ascii="Arial" w:cs="Arial" w:eastAsia="Arial" w:hAnsi="Arial"/>
          <w:sz w:val="18"/>
          <w:szCs w:val="18"/>
          <w:u w:val="single" w:color="auto"/>
          <w:color w:val="auto"/>
        </w:rPr>
        <w:t>Article 15</w:t>
      </w:r>
      <w:r>
        <w:rPr>
          <w:rFonts w:ascii="Arial" w:cs="Arial" w:eastAsia="Arial" w:hAnsi="Arial"/>
          <w:sz w:val="18"/>
          <w:szCs w:val="18"/>
          <w:color w:val="auto"/>
        </w:rPr>
        <w:t>. Licensee and X4 will each comply with standard academic practice regarding authorship of scientific publications and recognition of contribution of other parties in any publication.</w:t>
      </w:r>
    </w:p>
    <w:p>
      <w:pPr>
        <w:spacing w:after="0" w:line="194" w:lineRule="exact"/>
        <w:rPr>
          <w:sz w:val="20"/>
          <w:szCs w:val="20"/>
          <w:color w:val="auto"/>
        </w:rPr>
      </w:pPr>
    </w:p>
    <w:p>
      <w:pPr>
        <w:jc w:val="both"/>
        <w:ind w:left="540" w:hanging="635"/>
        <w:spacing w:after="0" w:line="253" w:lineRule="auto"/>
        <w:tabs>
          <w:tab w:leader="none" w:pos="5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u w:val="single" w:color="auto"/>
          <w:color w:val="auto"/>
        </w:rPr>
        <w:t>Destruction of Confidential Information</w:t>
      </w:r>
      <w:r>
        <w:rPr>
          <w:rFonts w:ascii="Arial" w:cs="Arial" w:eastAsia="Arial" w:hAnsi="Arial"/>
          <w:sz w:val="18"/>
          <w:szCs w:val="18"/>
          <w:b w:val="1"/>
          <w:b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Within [***] days after the earlier of (a) the expiration of the Term; (b) the termination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or (c) the written request of the Disclosing Party, the Recipient Party shall promptly destroy all documentary, electronic or other tangible embodiments of the Disclosing Party’s Confidential Information to which the Recipient Party does not retain rights hereunder and any and all copies thereof, and destroy those portions of any documents that incorporate or are derived from the Disclosing Party’s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71348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395" w:right="339" w:bottom="1440" w:gutter="0" w:footer="0" w:header="0"/>
        </w:sectPr>
      </w:pPr>
    </w:p>
    <w:bookmarkStart w:id="157" w:name="page158"/>
    <w:bookmarkEnd w:id="157"/>
    <w:p>
      <w:pPr>
        <w:jc w:val="both"/>
        <w:ind w:left="640"/>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6">
                      <a:extLst>
                        <a:ext uri="{28A0092B-C50C-407E-A947-70E740481C1C}"/>
                      </a:extLst>
                    </a:blip>
                    <a:srcRect/>
                    <a:stretch>
                      <a:fillRect/>
                    </a:stretch>
                  </pic:blipFill>
                  <pic:spPr bwMode="auto">
                    <a:xfrm>
                      <a:off x="0" y="0"/>
                      <a:ext cx="7134860" cy="8255"/>
                    </a:xfrm>
                    <a:prstGeom prst="rect">
                      <a:avLst/>
                    </a:prstGeom>
                    <a:noFill/>
                  </pic:spPr>
                </pic:pic>
              </a:graphicData>
            </a:graphic>
          </wp:anchor>
        </w:drawing>
        <w:t>Information to which the Recipient Party does not retain rights hereunder, and upon the Disclosing Party’s written request provide a written certification of such destruction, except that the Recipient Party may retain one copy thereof, to the extent that the Recipient Party requires such Confidential Information for the purpose of performing any obligations or exercising any rights under this Agreement that may survive such expiration or termination, or for archival purposes. Notwithstanding the foregoing, the Recipient Party also shall be permitted to retain such additional copies of or any computer records or files containing the Disclosing Party’s Confidential Information that have been created solely by the Recipient Party’s automatic archiving and back-up procedures, to the extent created and retained in a manner consistent with the Recipient Party’s standard archiving and back-up procedures, but not for any other use or purpose.</w:t>
      </w:r>
    </w:p>
    <w:p>
      <w:pPr>
        <w:spacing w:after="0" w:line="188" w:lineRule="exact"/>
        <w:rPr>
          <w:sz w:val="20"/>
          <w:szCs w:val="20"/>
          <w:color w:val="auto"/>
        </w:rPr>
      </w:pPr>
    </w:p>
    <w:p>
      <w:pPr>
        <w:ind w:left="440" w:hanging="434"/>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USE OF NAME &amp; TRADEMARK; INTELLECTUAL PROPERTY</w:t>
      </w:r>
    </w:p>
    <w:p>
      <w:pPr>
        <w:spacing w:after="0" w:line="21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Ownership, License and Use of X4 Trademark</w:t>
      </w:r>
      <w:r>
        <w:rPr>
          <w:rFonts w:ascii="Arial" w:cs="Arial" w:eastAsia="Arial" w:hAnsi="Arial"/>
          <w:sz w:val="17"/>
          <w:szCs w:val="17"/>
          <w:color w:val="auto"/>
        </w:rPr>
        <w:t>.</w:t>
      </w:r>
    </w:p>
    <w:p>
      <w:pPr>
        <w:spacing w:after="0" w:line="217"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Licensee acknowledges that the X4 Trademark is and shall be exclusively owned or Controlled by X4.</w:t>
      </w:r>
    </w:p>
    <w:p>
      <w:pPr>
        <w:spacing w:after="0" w:line="217" w:lineRule="exact"/>
        <w:rPr>
          <w:sz w:val="20"/>
          <w:szCs w:val="20"/>
          <w:color w:val="auto"/>
        </w:rPr>
      </w:pPr>
    </w:p>
    <w:p>
      <w:pPr>
        <w:jc w:val="both"/>
        <w:ind w:left="1280" w:hanging="635"/>
        <w:spacing w:after="0" w:line="242" w:lineRule="auto"/>
        <w:tabs>
          <w:tab w:leader="none" w:pos="1260" w:val="left"/>
        </w:tabs>
        <w:rPr>
          <w:sz w:val="20"/>
          <w:szCs w:val="20"/>
          <w:color w:val="auto"/>
        </w:rPr>
      </w:pPr>
      <w:r>
        <w:rPr>
          <w:rFonts w:ascii="Arial" w:cs="Arial" w:eastAsia="Arial" w:hAnsi="Arial"/>
          <w:sz w:val="18"/>
          <w:szCs w:val="18"/>
          <w:color w:val="auto"/>
        </w:rPr>
        <w:t>10.1.2</w:t>
        <w:tab/>
        <w:t xml:space="preserve">Subject to </w:t>
      </w:r>
      <w:r>
        <w:rPr>
          <w:rFonts w:ascii="Arial" w:cs="Arial" w:eastAsia="Arial" w:hAnsi="Arial"/>
          <w:sz w:val="18"/>
          <w:szCs w:val="18"/>
          <w:u w:val="single" w:color="auto"/>
          <w:color w:val="auto"/>
        </w:rPr>
        <w:t>Section 10.1.3</w:t>
      </w:r>
      <w:r>
        <w:rPr>
          <w:rFonts w:ascii="Arial" w:cs="Arial" w:eastAsia="Arial" w:hAnsi="Arial"/>
          <w:sz w:val="18"/>
          <w:szCs w:val="18"/>
          <w:color w:val="auto"/>
        </w:rPr>
        <w:t>, X4 shall be responsible for, and shall diligently carry out and shall bear all costs (including attorneys' fees) for the preparation, filing, prosecution, maintenance, defence and extensions, if any, of the X4 Trademark relating to the Licensed Product in the Territory throughout the Term. X4 shall, as soon as reasonably practicable following the Effective Date, register the X4 Trademark in each country in the Territory. In the event that Licensee is unable to use the trademark XOLREMDI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as a result of Applicable Law or any other regulatory reason or if Licensee otherwise desires to use an alternative trademark for chronic neutropenia or indications other than WHIM syndrome, the Parties shall discuss in good faith via the JSC and develop alternative trademarks for use in the Territory (“</w:t>
      </w:r>
      <w:r>
        <w:rPr>
          <w:rFonts w:ascii="Arial" w:cs="Arial" w:eastAsia="Arial" w:hAnsi="Arial"/>
          <w:sz w:val="18"/>
          <w:szCs w:val="18"/>
          <w:b w:val="1"/>
          <w:bCs w:val="1"/>
          <w:color w:val="auto"/>
        </w:rPr>
        <w:t>Alternative Trademarks</w:t>
      </w:r>
      <w:r>
        <w:rPr>
          <w:rFonts w:ascii="Arial" w:cs="Arial" w:eastAsia="Arial" w:hAnsi="Arial"/>
          <w:sz w:val="18"/>
          <w:szCs w:val="18"/>
          <w:color w:val="auto"/>
        </w:rPr>
        <w:t xml:space="preserve">”). All right, title and interest in and to the Alternative Trademarks and all goodwill associated therewith shall vest in and accrue to X4 and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 xml:space="preserve">mutatis mutandis </w:t>
      </w:r>
      <w:r>
        <w:rPr>
          <w:rFonts w:ascii="Arial" w:cs="Arial" w:eastAsia="Arial" w:hAnsi="Arial"/>
          <w:sz w:val="18"/>
          <w:szCs w:val="18"/>
          <w:color w:val="auto"/>
        </w:rPr>
        <w:t>to such Alternative Trademarks.</w:t>
      </w:r>
    </w:p>
    <w:p>
      <w:pPr>
        <w:spacing w:after="0" w:line="195"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10.1.3</w:t>
        <w:tab/>
        <w:t xml:space="preserve">Notwithstanding </w:t>
      </w:r>
      <w:r>
        <w:rPr>
          <w:rFonts w:ascii="Arial" w:cs="Arial" w:eastAsia="Arial" w:hAnsi="Arial"/>
          <w:sz w:val="18"/>
          <w:szCs w:val="18"/>
          <w:u w:val="single" w:color="auto"/>
          <w:color w:val="auto"/>
        </w:rPr>
        <w:t>Section 10.1.2</w:t>
      </w:r>
      <w:r>
        <w:rPr>
          <w:rFonts w:ascii="Arial" w:cs="Arial" w:eastAsia="Arial" w:hAnsi="Arial"/>
          <w:sz w:val="18"/>
          <w:szCs w:val="18"/>
          <w:color w:val="auto"/>
        </w:rPr>
        <w:t>, Licensee may apply for and register, in its own name or that of its Affiliates, one or more domain name related to the Licensed Product in the Territory, provided that any such domain name containing the X4 Trademark or X4’s name or any other registered trademarks owned by X4 shall be subject to X4’s prior written consent shall be required, which shall not be unreasonably withheld, conditioned or delayed.</w:t>
      </w:r>
    </w:p>
    <w:p>
      <w:pPr>
        <w:spacing w:after="0" w:line="180" w:lineRule="exact"/>
        <w:rPr>
          <w:sz w:val="20"/>
          <w:szCs w:val="20"/>
          <w:color w:val="auto"/>
        </w:rPr>
      </w:pPr>
    </w:p>
    <w:p>
      <w:pPr>
        <w:jc w:val="both"/>
        <w:ind w:left="1280" w:hanging="635"/>
        <w:spacing w:after="0" w:line="250" w:lineRule="auto"/>
        <w:tabs>
          <w:tab w:leader="none" w:pos="1260" w:val="left"/>
        </w:tabs>
        <w:rPr>
          <w:sz w:val="20"/>
          <w:szCs w:val="20"/>
          <w:color w:val="auto"/>
        </w:rPr>
      </w:pPr>
      <w:r>
        <w:rPr>
          <w:rFonts w:ascii="Arial" w:cs="Arial" w:eastAsia="Arial" w:hAnsi="Arial"/>
          <w:sz w:val="18"/>
          <w:szCs w:val="18"/>
          <w:color w:val="auto"/>
        </w:rPr>
        <w:t>10.1.4</w:t>
        <w:tab/>
        <w:t xml:space="preserve">X4 hereby grants to Licensee an exclusive (even as to and against X4) license to use (and to authorize others to use in accordance with this Agreement) the X4 Trademark in the Territory for the Term in connection with the import, export, promotion, distribution, manufacture, packaging, release (as required under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marketing, advertising, offering for sale, selling the Licensed Product, or having the Licensed Product sold by or on behalf of the Licensee in any country in the Territory. Licensee may record the license granted to it under this </w:t>
      </w:r>
      <w:r>
        <w:rPr>
          <w:rFonts w:ascii="Arial" w:cs="Arial" w:eastAsia="Arial" w:hAnsi="Arial"/>
          <w:sz w:val="18"/>
          <w:szCs w:val="18"/>
          <w:u w:val="single" w:color="auto"/>
          <w:color w:val="auto"/>
        </w:rPr>
        <w:t>Section 10.1.4</w:t>
      </w:r>
      <w:r>
        <w:rPr>
          <w:rFonts w:ascii="Arial" w:cs="Arial" w:eastAsia="Arial" w:hAnsi="Arial"/>
          <w:sz w:val="18"/>
          <w:szCs w:val="18"/>
          <w:color w:val="auto"/>
        </w:rPr>
        <w:t xml:space="preserve"> at applicable trademark registries in the Territory, and X4 shall cooperate and provide reasonable assistance at Licensee’s expense in connection with such recordation, including executing and delivering any documents reasonably required therefor.</w:t>
      </w:r>
    </w:p>
    <w:p>
      <w:pPr>
        <w:spacing w:after="0" w:line="187"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10.1.5</w:t>
        <w:tab/>
        <w:t>Licensee will not use X4's name, the X4 Trademark as part of Licensee's firm, corporate or business name, and shall not use the name of X4 or the X4 Trademark in any way except in relation to the Licensed Product purchased from, and marketed, distributed and sold under license from, X4 or otherwise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95" w:right="339" w:bottom="1440" w:gutter="0" w:footer="0" w:header="0"/>
        </w:sectPr>
      </w:pPr>
    </w:p>
    <w:bookmarkStart w:id="158" w:name="page159"/>
    <w:bookmarkEnd w:id="158"/>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8">
                      <a:extLst>
                        <a:ext uri="{28A0092B-C50C-407E-A947-70E740481C1C}"/>
                      </a:extLst>
                    </a:blip>
                    <a:srcRect/>
                    <a:stretch>
                      <a:fillRect/>
                    </a:stretch>
                  </pic:blipFill>
                  <pic:spPr bwMode="auto">
                    <a:xfrm>
                      <a:off x="0" y="0"/>
                      <a:ext cx="7134860" cy="8255"/>
                    </a:xfrm>
                    <a:prstGeom prst="rect">
                      <a:avLst/>
                    </a:prstGeom>
                    <a:noFill/>
                  </pic:spPr>
                </pic:pic>
              </a:graphicData>
            </a:graphic>
          </wp:anchor>
        </w:drawing>
        <w:t>10.1.6</w:t>
        <w:tab/>
        <w:t xml:space="preserve">Licensee shall not use any trademarks on or in relation to the Licensed Product other than the X4 Trademark, the Alternative Trademarks, Licensee’s own corporate marks or logos or (to the extent permitted by </w:t>
      </w:r>
      <w:r>
        <w:rPr>
          <w:rFonts w:ascii="Arial" w:cs="Arial" w:eastAsia="Arial" w:hAnsi="Arial"/>
          <w:sz w:val="18"/>
          <w:szCs w:val="18"/>
          <w:u w:val="single" w:color="auto"/>
          <w:color w:val="auto"/>
        </w:rPr>
        <w:t>Section 10.2.2</w:t>
      </w:r>
      <w:r>
        <w:rPr>
          <w:rFonts w:ascii="Arial" w:cs="Arial" w:eastAsia="Arial" w:hAnsi="Arial"/>
          <w:sz w:val="18"/>
          <w:szCs w:val="18"/>
          <w:color w:val="auto"/>
        </w:rPr>
        <w:t>) the Genzyme Trademark, and shall not seek to register any trademarks for local or ancillary (or other) use in relation to the Licensed Product, without X4’s prior written approval.</w:t>
      </w:r>
    </w:p>
    <w:p>
      <w:pPr>
        <w:spacing w:after="0" w:line="180" w:lineRule="exact"/>
        <w:rPr>
          <w:sz w:val="20"/>
          <w:szCs w:val="20"/>
          <w:color w:val="auto"/>
        </w:rPr>
      </w:pPr>
    </w:p>
    <w:p>
      <w:pPr>
        <w:jc w:val="both"/>
        <w:ind w:left="1280" w:hanging="635"/>
        <w:spacing w:after="0" w:line="267" w:lineRule="auto"/>
        <w:tabs>
          <w:tab w:leader="none" w:pos="12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Licensee agrees to provide reasonable assistance to X4 at X4's written request to defend and enforce X4's rights to the X4 Trademark and its other intellectual property in respect of the Licensed Product in the Territory at X4's guidance and expense. X4 shall use Commercially Reasonable Efforts to enforce, defend, pursue and remedy any such infringement. If X4 decides not to enforce, defend, pursue and remedy any such infringement, or ceases to diligently pursue such action, Licensee will have the right, but not the obligation, using counsel of its choosing at its sole cost and expense, to institute such action against the applicable Third Party(ies). Without limiting the foregoing, Licensee shall exercise reasonable vigilance to detect and shall report to X4 any instances coming to Licensee's attention of infringement by any Third Party of the X4 Trademark.</w:t>
      </w:r>
    </w:p>
    <w:p>
      <w:pPr>
        <w:spacing w:after="0" w:line="17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Ownership, License and Use of Genzyme Trademark</w:t>
      </w:r>
      <w:r>
        <w:rPr>
          <w:rFonts w:ascii="Arial" w:cs="Arial" w:eastAsia="Arial" w:hAnsi="Arial"/>
          <w:sz w:val="17"/>
          <w:szCs w:val="17"/>
          <w:color w:val="auto"/>
        </w:rPr>
        <w:t>.</w:t>
      </w:r>
    </w:p>
    <w:p>
      <w:pPr>
        <w:spacing w:after="0" w:line="217"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Licensee acknowledges that the Genzyme Trademark is and shall be exclusively owned or Controlled by Genzyme.</w:t>
      </w:r>
    </w:p>
    <w:p>
      <w:pPr>
        <w:spacing w:after="0" w:line="217"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10.2.2</w:t>
        <w:tab/>
        <w:t xml:space="preserve">X4 hereby grants to Licensee a non-exclusive sublicense to use any Genzyme Trademark solely as necessary for Licensee to perform its obligations under </w:t>
      </w:r>
      <w:r>
        <w:rPr>
          <w:rFonts w:ascii="Arial" w:cs="Arial" w:eastAsia="Arial" w:hAnsi="Arial"/>
          <w:sz w:val="18"/>
          <w:szCs w:val="18"/>
          <w:u w:val="single" w:color="auto"/>
          <w:color w:val="auto"/>
        </w:rPr>
        <w:t>Section 8.5.2</w:t>
      </w:r>
      <w:r>
        <w:rPr>
          <w:rFonts w:ascii="Arial" w:cs="Arial" w:eastAsia="Arial" w:hAnsi="Arial"/>
          <w:sz w:val="18"/>
          <w:szCs w:val="18"/>
          <w:color w:val="auto"/>
        </w:rPr>
        <w:t xml:space="preserve"> and for no other purpose.</w:t>
      </w:r>
    </w:p>
    <w:p>
      <w:pPr>
        <w:spacing w:after="0" w:line="163" w:lineRule="exact"/>
        <w:rPr>
          <w:sz w:val="20"/>
          <w:szCs w:val="20"/>
          <w:color w:val="auto"/>
        </w:rPr>
      </w:pPr>
    </w:p>
    <w:p>
      <w:pPr>
        <w:jc w:val="both"/>
        <w:ind w:left="1280" w:hanging="635"/>
        <w:spacing w:after="0" w:line="249" w:lineRule="auto"/>
        <w:tabs>
          <w:tab w:leader="none" w:pos="1260" w:val="left"/>
        </w:tabs>
        <w:rPr>
          <w:sz w:val="20"/>
          <w:szCs w:val="20"/>
          <w:color w:val="auto"/>
        </w:rPr>
      </w:pPr>
      <w:r>
        <w:rPr>
          <w:rFonts w:ascii="Arial" w:cs="Arial" w:eastAsia="Arial" w:hAnsi="Arial"/>
          <w:sz w:val="18"/>
          <w:szCs w:val="18"/>
          <w:color w:val="auto"/>
        </w:rPr>
        <w:t>10.2.3</w:t>
        <w:tab/>
        <w:t xml:space="preserve">With respect to any Genzyme Trademark licensed to Licensee under </w:t>
      </w:r>
      <w:r>
        <w:rPr>
          <w:rFonts w:ascii="Arial" w:cs="Arial" w:eastAsia="Arial" w:hAnsi="Arial"/>
          <w:sz w:val="18"/>
          <w:szCs w:val="18"/>
          <w:u w:val="single" w:color="auto"/>
          <w:color w:val="auto"/>
        </w:rPr>
        <w:t>Section 10.2.2</w:t>
      </w:r>
      <w:r>
        <w:rPr>
          <w:rFonts w:ascii="Arial" w:cs="Arial" w:eastAsia="Arial" w:hAnsi="Arial"/>
          <w:sz w:val="18"/>
          <w:szCs w:val="18"/>
          <w:color w:val="auto"/>
        </w:rPr>
        <w:t>, Licensee agrees to conform to the guidelines of Genzyme in effect from time to time (as notified in writing to Licensee) with respect to manner of use and to maintain the quality standards of Genzyme for goods sold and services provided in connection with any such Genzyme Trademark. Licensee and its Affiliates shall, and shall include in each sublicense agreement an obligation of each sublicensee to, use diligent efforts not to do any act that endangers, destroys or similarly affects the value of the goodwill pertaining to the any Genzyme Trademark. Licensee and its Affiliates shall, and shall include in each sublicense agreement an obligation of each sublicensee to, execute any documents required in the reasonable opinion of Genzyme to be entered as a “registered user” or recorded licensee of the any Genzyme Trademark or to be removed as registered user or licensee thereof. Genzyme shall retain all right, title and interest in and to any Genzyme Trademark.</w:t>
      </w:r>
    </w:p>
    <w:p>
      <w:pPr>
        <w:spacing w:after="0" w:line="187" w:lineRule="exact"/>
        <w:rPr>
          <w:sz w:val="20"/>
          <w:szCs w:val="20"/>
          <w:color w:val="auto"/>
        </w:rPr>
      </w:pPr>
    </w:p>
    <w:p>
      <w:pPr>
        <w:jc w:val="both"/>
        <w:ind w:left="620" w:hanging="635"/>
        <w:spacing w:after="0" w:line="253" w:lineRule="auto"/>
        <w:tabs>
          <w:tab w:leader="none" w:pos="6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auto"/>
        </w:rPr>
        <w:t>Standards</w:t>
      </w:r>
      <w:r>
        <w:rPr>
          <w:rFonts w:ascii="Arial" w:cs="Arial" w:eastAsia="Arial" w:hAnsi="Arial"/>
          <w:sz w:val="18"/>
          <w:szCs w:val="18"/>
          <w:color w:val="auto"/>
        </w:rPr>
        <w:t>. X4 shall notify Licensee in writing of the standards of quality and specifications that must be adopted by Licensee in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handling of the Licensed Product and Licensee undertakes to comply strictly with such standards and specifications subject to Applicable Laws in the Territory. X4 shall give Licensee written notice of any modifications or changes to the standards of quality or Specifications and Licensee must use its best efforts to implement any such modification or change as soon as reasonably practicable, subject to Applicable Law in the Territory.</w:t>
      </w:r>
    </w:p>
    <w:p>
      <w:pPr>
        <w:spacing w:after="0" w:line="181" w:lineRule="exact"/>
        <w:rPr>
          <w:sz w:val="20"/>
          <w:szCs w:val="20"/>
          <w:color w:val="auto"/>
        </w:rPr>
      </w:pPr>
    </w:p>
    <w:p>
      <w:pPr>
        <w:jc w:val="both"/>
        <w:ind w:left="540" w:hanging="635"/>
        <w:spacing w:after="0" w:line="260" w:lineRule="auto"/>
        <w:tabs>
          <w:tab w:leader="none" w:pos="5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Similar/Confusing Marks</w:t>
      </w:r>
      <w:r>
        <w:rPr>
          <w:rFonts w:ascii="Arial" w:cs="Arial" w:eastAsia="Arial" w:hAnsi="Arial"/>
          <w:sz w:val="18"/>
          <w:szCs w:val="18"/>
          <w:color w:val="auto"/>
        </w:rPr>
        <w:t>. Licensee shall not use in its business in the Territory (or apply or obtain registration for) any trademark, domain</w:t>
      </w:r>
      <w:r>
        <w:rPr>
          <w:rFonts w:ascii="Arial" w:cs="Arial" w:eastAsia="Arial" w:hAnsi="Arial"/>
          <w:sz w:val="18"/>
          <w:szCs w:val="18"/>
          <w:u w:val="single" w:color="auto"/>
          <w:color w:val="auto"/>
        </w:rPr>
        <w:t xml:space="preserve"> </w:t>
      </w:r>
      <w:r>
        <w:rPr>
          <w:rFonts w:ascii="Arial" w:cs="Arial" w:eastAsia="Arial" w:hAnsi="Arial"/>
          <w:sz w:val="18"/>
          <w:szCs w:val="18"/>
          <w:color w:val="auto"/>
        </w:rPr>
        <w:t>name or corporate name or trading name identical with or confusingly similar to the X4 Trademark without X4’s prior written consent (not to be unreasonably withheld, conditioned or delayed).</w:t>
      </w:r>
    </w:p>
    <w:p>
      <w:pPr>
        <w:spacing w:after="0" w:line="17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u w:val="single" w:color="auto"/>
          <w:color w:val="auto"/>
        </w:rPr>
        <w:t>Other Intellectual Property Matters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417830</wp:posOffset>
            </wp:positionV>
            <wp:extent cx="7134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95" w:right="339" w:bottom="1440" w:gutter="0" w:footer="0" w:header="0"/>
        </w:sectPr>
      </w:pPr>
    </w:p>
    <w:bookmarkStart w:id="159" w:name="page160"/>
    <w:bookmarkEnd w:id="159"/>
    <w:p>
      <w:pPr>
        <w:jc w:val="both"/>
        <w:ind w:left="400" w:hanging="635"/>
        <w:spacing w:after="0" w:line="265" w:lineRule="auto"/>
        <w:tabs>
          <w:tab w:leader="none" w:pos="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0">
                      <a:extLst>
                        <a:ext uri="{28A0092B-C50C-407E-A947-70E740481C1C}"/>
                      </a:extLst>
                    </a:blip>
                    <a:srcRect/>
                    <a:stretch>
                      <a:fillRect/>
                    </a:stretch>
                  </pic:blipFill>
                  <pic:spPr bwMode="auto">
                    <a:xfrm>
                      <a:off x="0" y="0"/>
                      <a:ext cx="7134860" cy="8255"/>
                    </a:xfrm>
                    <a:prstGeom prst="rect">
                      <a:avLst/>
                    </a:prstGeom>
                    <a:noFill/>
                  </pic:spPr>
                </pic:pic>
              </a:graphicData>
            </a:graphic>
          </wp:anchor>
        </w:drawing>
        <w:t>10.5.1</w:t>
      </w:r>
      <w:r>
        <w:rPr>
          <w:sz w:val="20"/>
          <w:szCs w:val="20"/>
          <w:color w:val="auto"/>
        </w:rPr>
        <w:tab/>
      </w:r>
      <w:r>
        <w:rPr>
          <w:rFonts w:ascii="Arial" w:cs="Arial" w:eastAsia="Arial" w:hAnsi="Arial"/>
          <w:sz w:val="17"/>
          <w:szCs w:val="17"/>
          <w:u w:val="single" w:color="auto"/>
          <w:color w:val="auto"/>
        </w:rPr>
        <w:t>Ownership of Technology</w:t>
      </w:r>
      <w:r>
        <w:rPr>
          <w:rFonts w:ascii="Arial" w:cs="Arial" w:eastAsia="Arial" w:hAnsi="Arial"/>
          <w:sz w:val="17"/>
          <w:szCs w:val="17"/>
          <w:color w:val="auto"/>
        </w:rPr>
        <w:t>. Subject to the licenses granted under</w:t>
      </w:r>
      <w:r>
        <w:rPr>
          <w:rFonts w:ascii="Arial" w:cs="Arial" w:eastAsia="Arial" w:hAnsi="Arial"/>
          <w:sz w:val="17"/>
          <w:szCs w:val="17"/>
          <w:u w:val="single" w:color="auto"/>
          <w:color w:val="auto"/>
        </w:rPr>
        <w:t xml:space="preserve"> Sections 2.1 </w:t>
      </w:r>
      <w:r>
        <w:rPr>
          <w:rFonts w:ascii="Arial" w:cs="Arial" w:eastAsia="Arial" w:hAnsi="Arial"/>
          <w:sz w:val="17"/>
          <w:szCs w:val="17"/>
          <w:color w:val="auto"/>
        </w:rPr>
        <w:t>and</w:t>
      </w:r>
      <w:r>
        <w:rPr>
          <w:rFonts w:ascii="Arial" w:cs="Arial" w:eastAsia="Arial" w:hAnsi="Arial"/>
          <w:sz w:val="17"/>
          <w:szCs w:val="17"/>
          <w:u w:val="single" w:color="auto"/>
          <w:color w:val="auto"/>
        </w:rPr>
        <w:t xml:space="preserve"> 13.3.5</w:t>
      </w:r>
      <w:r>
        <w:rPr>
          <w:rFonts w:ascii="Arial" w:cs="Arial" w:eastAsia="Arial" w:hAnsi="Arial"/>
          <w:sz w:val="17"/>
          <w:szCs w:val="17"/>
          <w:color w:val="auto"/>
        </w:rPr>
        <w:t>, as between the Parties, each Party</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shall own and retain all right, title and interest in and to any and all: (a) Information that is conceived, discovered, developed or otherwise made by or on behalf of such Party, its (sub)licensees or its and their respective Affiliates under or in connection with this Agreement, whether or not patented or patentable, and any and all Patents and other intellectual property rights with respect thereto; and (b) other Information, Patents and other intellectual property rights that are owned or otherwise Controlled (other than pursuant to the license grants set forth in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13.3.5</w:t>
      </w:r>
      <w:r>
        <w:rPr>
          <w:rFonts w:ascii="Arial" w:cs="Arial" w:eastAsia="Arial" w:hAnsi="Arial"/>
          <w:sz w:val="17"/>
          <w:szCs w:val="17"/>
          <w:color w:val="auto"/>
        </w:rPr>
        <w:t>) by such Party, its (sub)licensees or its and their respective Affiliates. The determination of authorship, inventorship or ownership of any Information that is conceived, discovered, developed or otherwise made under or in connection with this Agreement shall be made under United States Applicable Law, irrespective of where such Information is actually conceived, discovered, developed or otherwise made.</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7"/>
          <w:szCs w:val="17"/>
          <w:u w:val="single" w:color="auto"/>
          <w:color w:val="auto"/>
        </w:rPr>
        <w:t>Prosecution and Maintenance of Patents in the Territor</w:t>
      </w:r>
      <w:r>
        <w:rPr>
          <w:rFonts w:ascii="Arial" w:cs="Arial" w:eastAsia="Arial" w:hAnsi="Arial"/>
          <w:sz w:val="17"/>
          <w:szCs w:val="17"/>
          <w:color w:val="auto"/>
        </w:rPr>
        <w:t>y.</w:t>
      </w:r>
    </w:p>
    <w:p>
      <w:pPr>
        <w:spacing w:after="0" w:line="217" w:lineRule="exact"/>
        <w:rPr>
          <w:sz w:val="20"/>
          <w:szCs w:val="20"/>
          <w:color w:val="auto"/>
        </w:rPr>
      </w:pPr>
    </w:p>
    <w:p>
      <w:pPr>
        <w:jc w:val="both"/>
        <w:ind w:left="1040" w:hanging="635"/>
        <w:spacing w:after="0" w:line="260" w:lineRule="auto"/>
        <w:tabs>
          <w:tab w:leader="none" w:pos="1020" w:val="left"/>
        </w:tabs>
        <w:rPr>
          <w:sz w:val="20"/>
          <w:szCs w:val="20"/>
          <w:color w:val="auto"/>
        </w:rPr>
      </w:pPr>
      <w:r>
        <w:rPr>
          <w:rFonts w:ascii="Arial" w:cs="Arial" w:eastAsia="Arial" w:hAnsi="Arial"/>
          <w:sz w:val="18"/>
          <w:szCs w:val="18"/>
          <w:color w:val="auto"/>
        </w:rPr>
        <w:t>10.5.2.1</w:t>
        <w:tab/>
        <w:t>X4 shall own or Control (as applicable), be responsible for, and shall bear all costs (including attorneys' fees) for the preparation, filing, prosecution, maintenance, defence and extensions, if any, of all Licensed Patents in the Territory during the Term.</w:t>
      </w:r>
    </w:p>
    <w:p>
      <w:pPr>
        <w:spacing w:after="0" w:line="175" w:lineRule="exact"/>
        <w:rPr>
          <w:sz w:val="20"/>
          <w:szCs w:val="20"/>
          <w:color w:val="auto"/>
        </w:rPr>
      </w:pPr>
    </w:p>
    <w:p>
      <w:pPr>
        <w:jc w:val="both"/>
        <w:ind w:left="1040" w:hanging="635"/>
        <w:spacing w:after="0" w:line="274" w:lineRule="auto"/>
        <w:tabs>
          <w:tab w:leader="none" w:pos="1020" w:val="left"/>
        </w:tabs>
        <w:rPr>
          <w:sz w:val="20"/>
          <w:szCs w:val="20"/>
          <w:color w:val="auto"/>
        </w:rPr>
      </w:pPr>
      <w:r>
        <w:rPr>
          <w:rFonts w:ascii="Arial" w:cs="Arial" w:eastAsia="Arial" w:hAnsi="Arial"/>
          <w:sz w:val="18"/>
          <w:szCs w:val="18"/>
          <w:color w:val="auto"/>
        </w:rPr>
        <w:t>10.5.2.2</w:t>
        <w:tab/>
        <w:t>Licensee shall own or Control (as applicable), be responsible for, and shall bear all costs (including attorneys' fees) for the preparation, filing, prosecution, maintenance, defence and extensions, if any, of all Norgine Patents.</w:t>
      </w:r>
    </w:p>
    <w:p>
      <w:pPr>
        <w:spacing w:after="0" w:line="163" w:lineRule="exact"/>
        <w:rPr>
          <w:sz w:val="20"/>
          <w:szCs w:val="20"/>
          <w:color w:val="auto"/>
        </w:rPr>
      </w:pPr>
    </w:p>
    <w:p>
      <w:pPr>
        <w:jc w:val="both"/>
        <w:ind w:left="1040" w:hanging="635"/>
        <w:spacing w:after="0" w:line="269" w:lineRule="auto"/>
        <w:tabs>
          <w:tab w:leader="none" w:pos="1020" w:val="left"/>
        </w:tabs>
        <w:rPr>
          <w:sz w:val="20"/>
          <w:szCs w:val="20"/>
          <w:color w:val="auto"/>
        </w:rPr>
      </w:pPr>
      <w:r>
        <w:rPr>
          <w:rFonts w:ascii="Arial" w:cs="Arial" w:eastAsia="Arial" w:hAnsi="Arial"/>
          <w:sz w:val="18"/>
          <w:szCs w:val="18"/>
          <w:color w:val="auto"/>
        </w:rPr>
        <w:t>10.5.2.3</w:t>
      </w:r>
      <w:r>
        <w:rPr>
          <w:sz w:val="20"/>
          <w:szCs w:val="20"/>
          <w:color w:val="auto"/>
        </w:rPr>
        <w:tab/>
      </w:r>
      <w:r>
        <w:rPr>
          <w:rFonts w:ascii="Arial" w:cs="Arial" w:eastAsia="Arial" w:hAnsi="Arial"/>
          <w:sz w:val="17"/>
          <w:szCs w:val="17"/>
          <w:color w:val="auto"/>
        </w:rPr>
        <w:t>Each Party shall consult with the other Party on all key decisions relating to the Licensed Patents or Norgine Patents, as applicable, in the Territory, including decisions relating to country validations, divisional filings, UPC strategy, defence, and shall give the other Party the opportunity to review and comment on any substantive communications relating to the Licensed Patents or the Norgine Patents, as applicable, at patent offices in the Territory. Each Party shall consider in good faith such other Party's input and comments; and shall provide to such other Party a written update on the status of the Licensed Patents or Norgine Patents, as applicable, in the Territory at least once per calendar year.</w:t>
      </w:r>
    </w:p>
    <w:p>
      <w:pPr>
        <w:spacing w:after="0" w:line="169" w:lineRule="exact"/>
        <w:rPr>
          <w:sz w:val="20"/>
          <w:szCs w:val="20"/>
          <w:color w:val="auto"/>
        </w:rPr>
      </w:pPr>
    </w:p>
    <w:p>
      <w:pPr>
        <w:jc w:val="both"/>
        <w:ind w:left="1040" w:hanging="635"/>
        <w:spacing w:after="0" w:line="260" w:lineRule="auto"/>
        <w:tabs>
          <w:tab w:leader="none" w:pos="1020" w:val="left"/>
        </w:tabs>
        <w:rPr>
          <w:sz w:val="20"/>
          <w:szCs w:val="20"/>
          <w:color w:val="auto"/>
        </w:rPr>
      </w:pPr>
      <w:r>
        <w:rPr>
          <w:rFonts w:ascii="Arial" w:cs="Arial" w:eastAsia="Arial" w:hAnsi="Arial"/>
          <w:sz w:val="18"/>
          <w:szCs w:val="18"/>
          <w:color w:val="auto"/>
        </w:rPr>
        <w:t>10.5.2.4</w:t>
        <w:tab/>
        <w:t xml:space="preserve">Licensee may record the license granted to it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at applicable patent registries in the Territory, and X4 shall cooperate and provide reasonable assistance at Licensee’s expense, including executing and delivering any documents reasonably required.</w:t>
      </w:r>
    </w:p>
    <w:p>
      <w:pPr>
        <w:spacing w:after="0" w:line="175" w:lineRule="exact"/>
        <w:rPr>
          <w:sz w:val="20"/>
          <w:szCs w:val="20"/>
          <w:color w:val="auto"/>
        </w:rPr>
      </w:pPr>
    </w:p>
    <w:p>
      <w:pPr>
        <w:jc w:val="both"/>
        <w:ind w:left="1040" w:hanging="635"/>
        <w:spacing w:after="0" w:line="249" w:lineRule="auto"/>
        <w:tabs>
          <w:tab w:leader="none" w:pos="1020" w:val="left"/>
        </w:tabs>
        <w:rPr>
          <w:sz w:val="20"/>
          <w:szCs w:val="20"/>
          <w:color w:val="auto"/>
        </w:rPr>
      </w:pPr>
      <w:r>
        <w:rPr>
          <w:rFonts w:ascii="Arial" w:cs="Arial" w:eastAsia="Arial" w:hAnsi="Arial"/>
          <w:sz w:val="18"/>
          <w:szCs w:val="18"/>
          <w:color w:val="auto"/>
        </w:rPr>
        <w:t>10.5.2.5</w:t>
      </w:r>
      <w:r>
        <w:rPr>
          <w:sz w:val="20"/>
          <w:szCs w:val="20"/>
          <w:color w:val="auto"/>
        </w:rPr>
        <w:tab/>
      </w:r>
      <w:r>
        <w:rPr>
          <w:rFonts w:ascii="Arial" w:cs="Arial" w:eastAsia="Arial" w:hAnsi="Arial"/>
          <w:sz w:val="18"/>
          <w:szCs w:val="18"/>
          <w:u w:val="single" w:color="auto"/>
          <w:color w:val="auto"/>
        </w:rPr>
        <w:t>Enforcement</w:t>
      </w:r>
      <w:r>
        <w:rPr>
          <w:rFonts w:ascii="Arial" w:cs="Arial" w:eastAsia="Arial" w:hAnsi="Arial"/>
          <w:sz w:val="18"/>
          <w:szCs w:val="18"/>
          <w:color w:val="auto"/>
        </w:rPr>
        <w:t>. If either X4 or Licensee has knowledge of any infringement or likely infringement of the Licensed</w:t>
      </w:r>
      <w:r>
        <w:rPr>
          <w:rFonts w:ascii="Arial" w:cs="Arial" w:eastAsia="Arial" w:hAnsi="Arial"/>
          <w:sz w:val="18"/>
          <w:szCs w:val="18"/>
          <w:u w:val="single" w:color="auto"/>
          <w:color w:val="auto"/>
        </w:rPr>
        <w:t xml:space="preserve"> </w:t>
      </w:r>
      <w:r>
        <w:rPr>
          <w:rFonts w:ascii="Arial" w:cs="Arial" w:eastAsia="Arial" w:hAnsi="Arial"/>
          <w:sz w:val="18"/>
          <w:szCs w:val="18"/>
          <w:color w:val="auto"/>
        </w:rPr>
        <w:t>Patents in the Territory, then the Party having such knowledge shall promptly inform the other Party in writing, and the Parties shall promptly consult with one another regarding the action to be taken. Unless the Parties otherwise mutually agree in writing, X4 shall be responsible for, and have the initial right, using counsel of its choice, to enforce such Licensed Patents or defend any declaratory action with respect thereto, at its sole expense, and Licensee shall give all reasonable assistance to X4 in such action at X4's expense (including the reasonable costs of Licensee’s legal counsel). If X4 exercises such right, then X4 shall control the strategy of such action and, provided that X4 either receives Licensee's prior written consent or is required by Applicable Law, X4 may use Licensee's name in connection with such action. If X4 declines to commence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398780</wp:posOffset>
            </wp:positionV>
            <wp:extent cx="71348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360"/>
          </w:cols>
          <w:pgMar w:left="1200" w:top="1395" w:right="339" w:bottom="1440" w:gutter="0" w:footer="0" w:header="0"/>
        </w:sectPr>
      </w:pPr>
    </w:p>
    <w:bookmarkStart w:id="160" w:name="page161"/>
    <w:bookmarkEnd w:id="160"/>
    <w:p>
      <w:pPr>
        <w:jc w:val="both"/>
        <w:ind w:left="800"/>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2">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such action, then Licensee shall have the right, subject to </w:t>
      </w:r>
      <w:r>
        <w:rPr>
          <w:rFonts w:ascii="Arial" w:cs="Arial" w:eastAsia="Arial" w:hAnsi="Arial"/>
          <w:sz w:val="18"/>
          <w:szCs w:val="18"/>
          <w:u w:val="single" w:color="auto"/>
          <w:color w:val="auto"/>
        </w:rPr>
        <w:t>Section 10.5.5</w:t>
      </w:r>
      <w:r>
        <w:rPr>
          <w:rFonts w:ascii="Arial" w:cs="Arial" w:eastAsia="Arial" w:hAnsi="Arial"/>
          <w:sz w:val="18"/>
          <w:szCs w:val="18"/>
          <w:color w:val="auto"/>
        </w:rPr>
        <w:t>, but not the obligation, to commence such declined action with respect to such infringement within the Field in the Territory; provided that, prior to Licensee's commencement of any such declined action, Licensee shall reasonably consider X4's reasons for declining to commence the action. In the event that Licensee elects, in its sole discretion and at Licensee's sole expense, to commence such declined action, (i) Licensee shall reasonably consider X4's reasonable input with respect to such declined action; (ii) X4 shall give all reasonably requested assistance to Licensee in such action at Licensee's expense; and (iii) Licensee may use X4's name in connection with such action. Licensee shall keep X4 reasonably apprised of the progress of any such action commenced by Licensee. Each Party exercising its right to enforce such Licensed Patents or defend any declaratory action with respect thereto, shall consider in good faith such other Party's input and comments; and shall provide to such other Party a written update on the status thereof.</w:t>
      </w:r>
    </w:p>
    <w:p>
      <w:pPr>
        <w:spacing w:after="0" w:line="185" w:lineRule="exact"/>
        <w:rPr>
          <w:sz w:val="20"/>
          <w:szCs w:val="20"/>
          <w:color w:val="auto"/>
        </w:rPr>
      </w:pPr>
    </w:p>
    <w:p>
      <w:pPr>
        <w:jc w:val="both"/>
        <w:ind w:left="800" w:hanging="635"/>
        <w:spacing w:after="0" w:line="267" w:lineRule="auto"/>
        <w:tabs>
          <w:tab w:leader="none" w:pos="780" w:val="left"/>
        </w:tabs>
        <w:rPr>
          <w:sz w:val="20"/>
          <w:szCs w:val="20"/>
          <w:color w:val="auto"/>
        </w:rPr>
      </w:pPr>
      <w:r>
        <w:rPr>
          <w:rFonts w:ascii="Arial" w:cs="Arial" w:eastAsia="Arial" w:hAnsi="Arial"/>
          <w:sz w:val="18"/>
          <w:szCs w:val="18"/>
          <w:color w:val="auto"/>
        </w:rPr>
        <w:t>10.5.2.6</w:t>
      </w:r>
      <w:r>
        <w:rPr>
          <w:sz w:val="20"/>
          <w:szCs w:val="20"/>
          <w:color w:val="auto"/>
        </w:rPr>
        <w:tab/>
      </w:r>
      <w:r>
        <w:rPr>
          <w:rFonts w:ascii="Arial" w:cs="Arial" w:eastAsia="Arial" w:hAnsi="Arial"/>
          <w:sz w:val="17"/>
          <w:szCs w:val="17"/>
          <w:color w:val="auto"/>
        </w:rPr>
        <w:t>With respect to any Licensed Patents owned by Genzyme and licensed to X4 under the Head License (the “</w:t>
      </w:r>
      <w:r>
        <w:rPr>
          <w:rFonts w:ascii="Arial" w:cs="Arial" w:eastAsia="Arial" w:hAnsi="Arial"/>
          <w:sz w:val="17"/>
          <w:szCs w:val="17"/>
          <w:b w:val="1"/>
          <w:bCs w:val="1"/>
          <w:color w:val="auto"/>
        </w:rPr>
        <w:t>Genzyme Patents</w:t>
      </w:r>
      <w:r>
        <w:rPr>
          <w:rFonts w:ascii="Arial" w:cs="Arial" w:eastAsia="Arial" w:hAnsi="Arial"/>
          <w:sz w:val="17"/>
          <w:szCs w:val="17"/>
          <w:color w:val="auto"/>
        </w:rPr>
        <w:t xml:space="preserve">”), Licensee’s rights under </w:t>
      </w:r>
      <w:r>
        <w:rPr>
          <w:rFonts w:ascii="Arial" w:cs="Arial" w:eastAsia="Arial" w:hAnsi="Arial"/>
          <w:sz w:val="17"/>
          <w:szCs w:val="17"/>
          <w:u w:val="single" w:color="auto"/>
          <w:color w:val="auto"/>
        </w:rPr>
        <w:t>Section 10.5.2.5</w:t>
      </w:r>
      <w:r>
        <w:rPr>
          <w:rFonts w:ascii="Arial" w:cs="Arial" w:eastAsia="Arial" w:hAnsi="Arial"/>
          <w:sz w:val="17"/>
          <w:szCs w:val="17"/>
          <w:color w:val="auto"/>
        </w:rPr>
        <w:t xml:space="preserve"> shall be subject to Genzyme’s right to enforce or defend such Genzyme Patents under the Head License. Accordingly, upon becoming aware of any existing or threatened infringement of any Genzyme Patents or any attack by a Third Party upon the validity, title or enforceability of any Genzyme Patent, Licensee shall promptly notify X4 in writing. If, in accordance with the Head License, Genzyme decides not to enforce or defend or fails to enforce or defend such action in respect of the Genzyme Patents, then X4 shall notify Licensee and thereafter Licensee may assume control of such enforcement or defense as applicable.</w:t>
      </w:r>
    </w:p>
    <w:p>
      <w:pPr>
        <w:spacing w:after="0" w:line="174" w:lineRule="exact"/>
        <w:rPr>
          <w:sz w:val="20"/>
          <w:szCs w:val="20"/>
          <w:color w:val="auto"/>
        </w:rPr>
      </w:pPr>
    </w:p>
    <w:p>
      <w:pPr>
        <w:jc w:val="both"/>
        <w:ind w:left="160" w:hanging="635"/>
        <w:spacing w:after="0" w:line="265" w:lineRule="auto"/>
        <w:tabs>
          <w:tab w:leader="none" w:pos="1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7"/>
          <w:szCs w:val="17"/>
          <w:u w:val="single" w:color="auto"/>
          <w:color w:val="auto"/>
        </w:rPr>
        <w:t>Infrin</w:t>
      </w:r>
      <w:r>
        <w:rPr>
          <w:rFonts w:ascii="Arial" w:cs="Arial" w:eastAsia="Arial" w:hAnsi="Arial"/>
          <w:sz w:val="17"/>
          <w:szCs w:val="17"/>
          <w:color w:val="auto"/>
        </w:rPr>
        <w:t>g</w:t>
      </w:r>
      <w:r>
        <w:rPr>
          <w:rFonts w:ascii="Arial" w:cs="Arial" w:eastAsia="Arial" w:hAnsi="Arial"/>
          <w:sz w:val="17"/>
          <w:szCs w:val="17"/>
          <w:u w:val="single" w:color="auto"/>
          <w:color w:val="auto"/>
        </w:rPr>
        <w:t>ement of Third Party Patents</w:t>
      </w:r>
      <w:r>
        <w:rPr>
          <w:rFonts w:ascii="Arial" w:cs="Arial" w:eastAsia="Arial" w:hAnsi="Arial"/>
          <w:sz w:val="17"/>
          <w:szCs w:val="17"/>
          <w:color w:val="auto"/>
        </w:rPr>
        <w:t>. If Licensee, or any of its Affiliates, is sued by a Third Party for infringement of a Third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Party's patent rights in the Territory because of the manufacture, use or sale of the Licensed Product in the Territory, Licensee shall promptly notify X4 in writing of such suit, and the Parties shall consult each other to agree upon the course of action to be taken. Unless otherwise agreed in writing by the Parties, subject to </w:t>
      </w:r>
      <w:r>
        <w:rPr>
          <w:rFonts w:ascii="Arial" w:cs="Arial" w:eastAsia="Arial" w:hAnsi="Arial"/>
          <w:sz w:val="17"/>
          <w:szCs w:val="17"/>
          <w:u w:val="single" w:color="auto"/>
          <w:color w:val="auto"/>
        </w:rPr>
        <w:t>Section 10.5.5 and Section 18.1</w:t>
      </w:r>
      <w:r>
        <w:rPr>
          <w:rFonts w:ascii="Arial" w:cs="Arial" w:eastAsia="Arial" w:hAnsi="Arial"/>
          <w:sz w:val="17"/>
          <w:szCs w:val="17"/>
          <w:color w:val="auto"/>
        </w:rPr>
        <w:t>, Licensee shall have the right, but not the obligation, to defend such suit in the Territory with counsel of its choice, solely at its own expense (including any costs incurred by Licensee and any amounts payable to any Third Party as a result of, or in connection with, any such action or suit, including without limitation damages, costs, license fees, royalty or other payments). X4 shall have the right to be represented by advisory counsel of its own selection at its own expense, and X4 shall reasonably cooperate in the defence of such suit and furnish to Licensee all pertinent evidence and reasonable assistance in X4's control.</w:t>
      </w:r>
    </w:p>
    <w:p>
      <w:pPr>
        <w:spacing w:after="0" w:line="177" w:lineRule="exact"/>
        <w:rPr>
          <w:sz w:val="20"/>
          <w:szCs w:val="20"/>
          <w:color w:val="auto"/>
        </w:rPr>
      </w:pPr>
    </w:p>
    <w:p>
      <w:pPr>
        <w:jc w:val="both"/>
        <w:ind w:left="160" w:hanging="635"/>
        <w:spacing w:after="0" w:line="249" w:lineRule="auto"/>
        <w:tabs>
          <w:tab w:leader="none" w:pos="14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u w:val="single" w:color="auto"/>
          <w:color w:val="auto"/>
        </w:rPr>
        <w:t>Recoveries; Settlement</w:t>
      </w:r>
      <w:r>
        <w:rPr>
          <w:rFonts w:ascii="Arial" w:cs="Arial" w:eastAsia="Arial" w:hAnsi="Arial"/>
          <w:sz w:val="18"/>
          <w:szCs w:val="18"/>
          <w:color w:val="auto"/>
        </w:rPr>
        <w:t>. In the event that either Party recovers any amounts from any litigation or settlement under</w:t>
      </w:r>
      <w:r>
        <w:rPr>
          <w:rFonts w:ascii="Arial" w:cs="Arial" w:eastAsia="Arial" w:hAnsi="Arial"/>
          <w:sz w:val="18"/>
          <w:szCs w:val="18"/>
          <w:u w:val="single" w:color="auto"/>
          <w:color w:val="auto"/>
        </w:rPr>
        <w:t xml:space="preserve"> Section 10.5.2.5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10.5.3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such amounts shall first be applied to reimburse X4 and Licensee for their respective actual out-of-pocket expenses, or equitable proportions thereof. Any remaining amount (i) attributable to loss of Net Sales of Licensed Product in the Territory, shall be retained by or paid to Licensee and deemed to be Licensed Product Net Sales hereunder; and (ii) not attributable to loss of Net Sales of Licensed Product in the Territory, shall be retained by or paid to the Party bringing such action. The Parties shall keep one another informed of their respective activities concerning, and the status of, any litigation or settlement thereof concerning a Licensed Patent or the Licensed Product; provided, however, that no settlement or consent judgment or other voluntary final disposition of any suit defended or action brought by a Party pursuant to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may be entered into without the written consent of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398780</wp:posOffset>
            </wp:positionV>
            <wp:extent cx="7134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20"/>
          </w:cols>
          <w:pgMar w:left="1440" w:top="1395" w:right="339" w:bottom="1440" w:gutter="0" w:footer="0" w:header="0"/>
        </w:sectPr>
      </w:pPr>
    </w:p>
    <w:bookmarkStart w:id="161" w:name="page162"/>
    <w:bookmarkEnd w:id="161"/>
    <w:p>
      <w:pPr>
        <w:ind w:left="1280"/>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4">
                      <a:extLst>
                        <a:ext uri="{28A0092B-C50C-407E-A947-70E740481C1C}"/>
                      </a:extLst>
                    </a:blip>
                    <a:srcRect/>
                    <a:stretch>
                      <a:fillRect/>
                    </a:stretch>
                  </pic:blipFill>
                  <pic:spPr bwMode="auto">
                    <a:xfrm>
                      <a:off x="0" y="0"/>
                      <a:ext cx="7134860" cy="8255"/>
                    </a:xfrm>
                    <a:prstGeom prst="rect">
                      <a:avLst/>
                    </a:prstGeom>
                    <a:noFill/>
                  </pic:spPr>
                </pic:pic>
              </a:graphicData>
            </a:graphic>
          </wp:anchor>
        </w:drawing>
        <w:t>if such settlement would require the other Party to be subject to an injunction or to make a monetary payment or would otherwise adversely affect the other Party's rights under this Agreement.</w:t>
      </w:r>
    </w:p>
    <w:p>
      <w:pPr>
        <w:spacing w:after="0" w:line="163"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8"/>
          <w:szCs w:val="18"/>
          <w:u w:val="single" w:color="auto"/>
          <w:color w:val="auto"/>
        </w:rPr>
        <w:t>Acknowledgement of Genzyme’s Rights</w:t>
      </w:r>
      <w:r>
        <w:rPr>
          <w:rFonts w:ascii="Arial" w:cs="Arial" w:eastAsia="Arial" w:hAnsi="Arial"/>
          <w:sz w:val="18"/>
          <w:szCs w:val="18"/>
          <w:color w:val="auto"/>
        </w:rPr>
        <w:t>. Licensee acknowledges that Genzyme has certain rights with respect to the filing,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prosecution, maintenance, enforcement, infringement and defense of the Licensed Patents licensed under the Head License, as set out in Section 7 of the Head License, and Licensee’s rights hereunder are subject to Genzyme’s rights in Section 7 of the Head License.</w:t>
      </w:r>
    </w:p>
    <w:p>
      <w:pPr>
        <w:spacing w:after="0" w:line="178" w:lineRule="exact"/>
        <w:rPr>
          <w:sz w:val="20"/>
          <w:szCs w:val="20"/>
          <w:color w:val="auto"/>
        </w:rPr>
      </w:pPr>
    </w:p>
    <w:p>
      <w:pPr>
        <w:ind w:left="440" w:hanging="434"/>
        <w:spacing w:after="0"/>
        <w:tabs>
          <w:tab w:leader="none" w:pos="4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JOINT STEERING COMMITTEE</w:t>
      </w:r>
    </w:p>
    <w:p>
      <w:pPr>
        <w:spacing w:after="0" w:line="217" w:lineRule="exact"/>
        <w:rPr>
          <w:sz w:val="20"/>
          <w:szCs w:val="20"/>
          <w:color w:val="auto"/>
        </w:rPr>
      </w:pPr>
    </w:p>
    <w:p>
      <w:pPr>
        <w:jc w:val="both"/>
        <w:ind w:left="620" w:hanging="635"/>
        <w:spacing w:after="0" w:line="252" w:lineRule="auto"/>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u w:val="single" w:color="auto"/>
          <w:color w:val="auto"/>
        </w:rPr>
        <w:t>Joint Steering Committee</w:t>
      </w:r>
      <w:r>
        <w:rPr>
          <w:rFonts w:ascii="Arial" w:cs="Arial" w:eastAsia="Arial" w:hAnsi="Arial"/>
          <w:sz w:val="18"/>
          <w:szCs w:val="18"/>
          <w:color w:val="auto"/>
        </w:rPr>
        <w:t>. X4 and Licensee shall establish a joint steering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facilitate communication and discussion between the Parties regarding Licensee's commercialization activities with respect to the Licensed Product in the Territory, and X4's development and commercialization activities with respect to the Licensed Product outside the Territory. The Joint Steering Committee shall facilitate the assistance to be provided by X4 to Licensee in order to achieve the mutually desired objective of speed, efficiency and coordination regarding Licensee's activities hereunder. The Joint Steering Committee's responsibilities shall be the following:</w:t>
      </w:r>
    </w:p>
    <w:p>
      <w:pPr>
        <w:spacing w:after="0" w:line="182" w:lineRule="exact"/>
        <w:rPr>
          <w:sz w:val="20"/>
          <w:szCs w:val="20"/>
          <w:color w:val="auto"/>
        </w:rPr>
      </w:pPr>
    </w:p>
    <w:p>
      <w:pPr>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11.1.1</w:t>
        <w:tab/>
        <w:t>review and discussion of the Performance Plan and any updates thereto provided by Licensee, as well as Licensee's progress with respect to the Performance Plan's activities and objectives;</w:t>
      </w:r>
    </w:p>
    <w:p>
      <w:pPr>
        <w:spacing w:after="0" w:line="163"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review and discussion of when Licensee's first Rolling Forecast should be provided (which in any event shall be no later than</w:t>
      </w:r>
    </w:p>
    <w:p>
      <w:pPr>
        <w:spacing w:after="0" w:line="21" w:lineRule="exact"/>
        <w:rPr>
          <w:sz w:val="20"/>
          <w:szCs w:val="20"/>
          <w:color w:val="auto"/>
        </w:rPr>
      </w:pPr>
    </w:p>
    <w:p>
      <w:pPr>
        <w:ind w:left="1280" w:hanging="2"/>
        <w:spacing w:after="0" w:line="256" w:lineRule="auto"/>
        <w:tabs>
          <w:tab w:leader="none" w:pos="16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months before the anticipated notification by the EMA of the first approval of a Marketing Authorization for WHIM syndrome);</w:t>
      </w:r>
    </w:p>
    <w:p>
      <w:pPr>
        <w:spacing w:after="0" w:line="178"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11.1.3</w:t>
        <w:tab/>
        <w:t>review and discussion of Licensee's forecasts and anticipated forecasting, as well as any potential or perceived shortages in quantities to be delivered in accordance with the then-current Rolling Forecast, in respect of the Licensed Product in the Territory;</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11.1.4</w:t>
        <w:tab/>
        <w:t>review and discussion of an equitable allocation of Licensed Product to then-current patients on treatment in the event of a shortage of Licensed Product impacting existing patients in either Party’s territory;</w:t>
      </w:r>
    </w:p>
    <w:p>
      <w:pPr>
        <w:spacing w:after="0" w:line="163"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11.1.5</w:t>
        <w:tab/>
        <w:t>review the status of Licensed Product manufacturing and supply activities, including discussing *** t, [***], to [***], as well as X4’s cost savings initiatives (as proposed and provided by X4 to Licensee as of the Effective Date and updated periodically thereafter, along with updates on achievement thereof by [***]);</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11.1.6</w:t>
        <w:tab/>
        <w:t>review and discussion of any strategic or operational issues identified by Licensee in connection with the Licensed Product in the Territory in the Field by or on behalf of Licensee;</w:t>
      </w:r>
    </w:p>
    <w:p>
      <w:pPr>
        <w:spacing w:after="0" w:line="163"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11.1.7</w:t>
        <w:tab/>
        <w:t>review and discussion of X4's general progress, results and other outcomes of development of Licensed Product in the Field and the conduct of any Clinical Studies by X4 (including its strategy, market insights, and review of any additional clinical data generated in respect of the Licensed Product, such data to be shared in advance of the relevant JSC meeting);</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11.1.8</w:t>
        <w:tab/>
        <w:t>review and discussion of Licensee’s proposed early access program activities, and the timing of supply by X4 for early access program, and the expiry dates for such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383540</wp:posOffset>
            </wp:positionV>
            <wp:extent cx="71348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395" w:right="339" w:bottom="1440" w:gutter="0" w:footer="0" w:header="0"/>
        </w:sectPr>
      </w:pPr>
    </w:p>
    <w:bookmarkStart w:id="162" w:name="page163"/>
    <w:bookmarkEnd w:id="162"/>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6">
                      <a:extLst>
                        <a:ext uri="{28A0092B-C50C-407E-A947-70E740481C1C}"/>
                      </a:extLst>
                    </a:blip>
                    <a:srcRect/>
                    <a:stretch>
                      <a:fillRect/>
                    </a:stretch>
                  </pic:blipFill>
                  <pic:spPr bwMode="auto">
                    <a:xfrm>
                      <a:off x="0" y="0"/>
                      <a:ext cx="7134860" cy="8255"/>
                    </a:xfrm>
                    <a:prstGeom prst="rect">
                      <a:avLst/>
                    </a:prstGeom>
                    <a:noFill/>
                  </pic:spPr>
                </pic:pic>
              </a:graphicData>
            </a:graphic>
          </wp:anchor>
        </w:drawing>
        <w:t>11.1.9</w:t>
        <w:tab/>
        <w:t xml:space="preserve">review and discussion of the status of and overall strategy for Regulatory Activities in the Territory, any summaries of changes required by Applicable Law in the Territory as provided by Licensee pursuant to </w:t>
      </w:r>
      <w:r>
        <w:rPr>
          <w:rFonts w:ascii="Arial" w:cs="Arial" w:eastAsia="Arial" w:hAnsi="Arial"/>
          <w:sz w:val="18"/>
          <w:szCs w:val="18"/>
          <w:u w:val="single" w:color="auto"/>
          <w:color w:val="auto"/>
        </w:rPr>
        <w:t>Section 4.8.3</w:t>
      </w:r>
      <w:r>
        <w:rPr>
          <w:rFonts w:ascii="Arial" w:cs="Arial" w:eastAsia="Arial" w:hAnsi="Arial"/>
          <w:sz w:val="18"/>
          <w:szCs w:val="18"/>
          <w:color w:val="auto"/>
        </w:rPr>
        <w:t>, and a summary of the progress of the Regulatory Activities carried out by either Party in the Territory;</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11.1.10</w:t>
        <w:tab/>
        <w:t>review and agree upon an appropriate timeline for filing an application for Marketing Authorization with the MHRA for the Licensed Product for WHIM syndrome;</w:t>
      </w:r>
    </w:p>
    <w:p>
      <w:pPr>
        <w:spacing w:after="0" w:line="163"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11.1.11</w:t>
        <w:tab/>
        <w:t>review and discussion of the status and overall strategy for Pricing Approval and Reimbursement Approval in the Territory, including Licensee’s calculation of the net price, and documents supporting such calculation, achieved for a Licensed Product following such Pricing Approval and Reimbursement Approval;</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11.1.12</w:t>
        <w:tab/>
        <w:t>review and discussion of [***] under the paediatric investigation plan and any alternative [***] recommended by the FDA in order to [***];</w:t>
      </w:r>
    </w:p>
    <w:p>
      <w:pPr>
        <w:spacing w:after="0" w:line="163" w:lineRule="exact"/>
        <w:rPr>
          <w:sz w:val="20"/>
          <w:szCs w:val="20"/>
          <w:color w:val="auto"/>
        </w:rPr>
      </w:pPr>
    </w:p>
    <w:p>
      <w:pPr>
        <w:jc w:val="both"/>
        <w:ind w:left="1280" w:hanging="635"/>
        <w:spacing w:after="0" w:line="255" w:lineRule="auto"/>
        <w:tabs>
          <w:tab w:leader="none" w:pos="1260" w:val="left"/>
        </w:tabs>
        <w:rPr>
          <w:sz w:val="20"/>
          <w:szCs w:val="20"/>
          <w:color w:val="auto"/>
        </w:rPr>
      </w:pPr>
      <w:r>
        <w:rPr>
          <w:rFonts w:ascii="Arial" w:cs="Arial" w:eastAsia="Arial" w:hAnsi="Arial"/>
          <w:sz w:val="18"/>
          <w:szCs w:val="18"/>
          <w:color w:val="auto"/>
        </w:rPr>
        <w:t>11.1.13</w:t>
        <w:tab/>
        <w:t>review and discussion of any additional stability studies or data that may be required or desirable to extend the shelf-life of the Licensed Products, and any strategic or operational issues identified by either Party in connection with manufacturing and supply of the Licensed Product or with Licensed Product development in the Field by or on behalf of X4. Each Party will cooperate in good faith with the other Party;</w:t>
      </w:r>
    </w:p>
    <w:p>
      <w:pPr>
        <w:spacing w:after="0" w:line="180"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11.1.14</w:t>
        <w:tab/>
        <w:t>coordination on Medical Affairs Activities in relation to the Licensed Products, approval of any investigator-initiated studies proposed to be conducted by Licensee in relation to the Licensed Product in the Territory, and review and discussion of the trial status and data arising from any investigator-initiated studies that are being conducted by Licensee;</w:t>
      </w:r>
    </w:p>
    <w:p>
      <w:pPr>
        <w:spacing w:after="0" w:line="175"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11.1.15</w:t>
        <w:tab/>
        <w:t>review and discussion of (i) an overview of each Party’s proposed publication strategy; and (ii) each of the key publications relating to the Licensed Product planned for the forthcoming six months; and</w:t>
      </w:r>
    </w:p>
    <w:p>
      <w:pPr>
        <w:spacing w:after="0" w:line="163"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color w:val="auto"/>
        </w:rPr>
        <w:t>11.1.16</w:t>
      </w:r>
      <w:r>
        <w:rPr>
          <w:sz w:val="20"/>
          <w:szCs w:val="20"/>
          <w:color w:val="auto"/>
        </w:rPr>
        <w:tab/>
      </w:r>
      <w:r>
        <w:rPr>
          <w:rFonts w:ascii="Arial" w:cs="Arial" w:eastAsia="Arial" w:hAnsi="Arial"/>
          <w:sz w:val="17"/>
          <w:szCs w:val="17"/>
          <w:color w:val="auto"/>
        </w:rPr>
        <w:t>review and discussion of proposals for developing Alternative Trademarks.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Each Party shall respect and reasonably consider the other Party's view, opinion, advice, recommendation and suggestion. Except with</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respect to approvals and decisions under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11.1.10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11.1.14</w:t>
      </w:r>
      <w:r>
        <w:rPr>
          <w:rFonts w:ascii="Arial" w:cs="Arial" w:eastAsia="Arial" w:hAnsi="Arial"/>
          <w:sz w:val="18"/>
          <w:szCs w:val="18"/>
          <w:color w:val="auto"/>
        </w:rPr>
        <w:t>, the JSC meetings will serve as a</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meeting of the Parties for information exchange purposes only, as set forth herein. The Joint Steering Committee shall be co-chaired by</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representative of each of X4 and Licensee. The Parties will endeavour in good faith and in compliance with this Agreement to reach</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unanimous agreement with respect to all matters within the JSC's responsibility. Each Party's representatives on the JSC will</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collectively have one (1) vote on all matters before the JSC. Should the JSC not be able to reach agreement with respect to a matter at</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duly called meeting of the JSC, X4's lead representative shall have final decision-making authority on all matters under </w:t>
      </w:r>
      <w:r>
        <w:rPr>
          <w:rFonts w:ascii="Arial" w:cs="Arial" w:eastAsia="Arial" w:hAnsi="Arial"/>
          <w:sz w:val="18"/>
          <w:szCs w:val="18"/>
          <w:u w:val="single" w:color="auto"/>
          <w:color w:val="auto"/>
        </w:rPr>
        <w:t>Section</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11.1.14</w:t>
      </w:r>
      <w:r>
        <w:rPr>
          <w:rFonts w:ascii="Arial" w:cs="Arial" w:eastAsia="Arial" w:hAnsi="Arial"/>
          <w:sz w:val="17"/>
          <w:szCs w:val="17"/>
          <w:color w:val="auto"/>
        </w:rPr>
        <w:t xml:space="preserve"> and Licensee’s lead representative shall have final decision-making authority on all matters under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11.1.10</w:t>
      </w:r>
      <w:r>
        <w:rPr>
          <w:rFonts w:ascii="Arial" w:cs="Arial" w:eastAsia="Arial" w:hAnsi="Arial"/>
          <w:sz w:val="18"/>
          <w:szCs w:val="18"/>
          <w:color w:val="auto"/>
        </w:rPr>
        <w:t>.</w:t>
      </w:r>
    </w:p>
    <w:p>
      <w:pPr>
        <w:spacing w:after="0" w:line="201" w:lineRule="exact"/>
        <w:rPr>
          <w:sz w:val="20"/>
          <w:szCs w:val="20"/>
          <w:color w:val="auto"/>
        </w:rPr>
      </w:pPr>
    </w:p>
    <w:p>
      <w:pPr>
        <w:jc w:val="both"/>
        <w:ind w:left="580" w:hanging="635"/>
        <w:spacing w:after="0" w:line="253" w:lineRule="auto"/>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u w:val="single" w:color="auto"/>
          <w:color w:val="auto"/>
        </w:rPr>
        <w:t>Membership</w:t>
      </w:r>
      <w:r>
        <w:rPr>
          <w:rFonts w:ascii="Arial" w:cs="Arial" w:eastAsia="Arial" w:hAnsi="Arial"/>
          <w:sz w:val="18"/>
          <w:szCs w:val="18"/>
          <w:color w:val="auto"/>
        </w:rPr>
        <w:t>. The JSC shall be comprised of up to six (6) members, with up to three (3) members appointed by X4 and up to three (3)</w:t>
      </w:r>
      <w:r>
        <w:rPr>
          <w:rFonts w:ascii="Arial" w:cs="Arial" w:eastAsia="Arial" w:hAnsi="Arial"/>
          <w:sz w:val="18"/>
          <w:szCs w:val="18"/>
          <w:u w:val="single" w:color="auto"/>
          <w:color w:val="auto"/>
        </w:rPr>
        <w:t xml:space="preserve"> </w:t>
      </w:r>
      <w:r>
        <w:rPr>
          <w:rFonts w:ascii="Arial" w:cs="Arial" w:eastAsia="Arial" w:hAnsi="Arial"/>
          <w:sz w:val="18"/>
          <w:szCs w:val="18"/>
          <w:color w:val="auto"/>
        </w:rPr>
        <w:t>members appointed by Licensee. Each Party shall at all times have an equal number of representatives on the JSC, and each Party shall appoint only senior personnel as its representatives on the JSC. Each Party may replace one or more of its JSC representatives at any time, with prior written notice to the other Party. With the consent of the JSC members, other representatives of X4 or Licensee may attend JSC meetings as observers.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71348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95" w:right="339" w:bottom="1440" w:gutter="0" w:footer="0" w:header="0"/>
        </w:sectPr>
      </w:pPr>
    </w:p>
    <w:bookmarkStart w:id="163" w:name="page164"/>
    <w:bookmarkEnd w:id="163"/>
    <w:p>
      <w:pPr>
        <w:jc w:val="both"/>
        <w:ind w:left="540" w:hanging="635"/>
        <w:spacing w:after="0" w:line="248"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8">
                      <a:extLst>
                        <a:ext uri="{28A0092B-C50C-407E-A947-70E740481C1C}"/>
                      </a:extLst>
                    </a:blip>
                    <a:srcRect/>
                    <a:stretch>
                      <a:fillRect/>
                    </a:stretch>
                  </pic:blipFill>
                  <pic:spPr bwMode="auto">
                    <a:xfrm>
                      <a:off x="0" y="0"/>
                      <a:ext cx="7134860" cy="8255"/>
                    </a:xfrm>
                    <a:prstGeom prst="rect">
                      <a:avLst/>
                    </a:prstGeom>
                    <a:noFill/>
                  </pic:spPr>
                </pic:pic>
              </a:graphicData>
            </a:graphic>
          </wp:anchor>
        </w:drawing>
        <w:t>11.3</w:t>
      </w:r>
      <w:r>
        <w:rPr>
          <w:sz w:val="20"/>
          <w:szCs w:val="20"/>
          <w:color w:val="auto"/>
        </w:rPr>
        <w:tab/>
      </w:r>
      <w:r>
        <w:rPr>
          <w:rFonts w:ascii="Arial" w:cs="Arial" w:eastAsia="Arial" w:hAnsi="Arial"/>
          <w:sz w:val="18"/>
          <w:szCs w:val="18"/>
          <w:u w:val="single" w:color="auto"/>
          <w:color w:val="auto"/>
        </w:rPr>
        <w:t>JSC Meetings</w:t>
      </w:r>
      <w:r>
        <w:rPr>
          <w:rFonts w:ascii="Arial" w:cs="Arial" w:eastAsia="Arial" w:hAnsi="Arial"/>
          <w:sz w:val="18"/>
          <w:szCs w:val="18"/>
          <w:color w:val="auto"/>
        </w:rPr>
        <w:t>. In the first year following the Effective Date, the JSC will plan to meet every two months, or more frequently as agreed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the Parties in writing, and thereafter during the Term, the JSC will meet at least quarterly. In each year, two JSC meetings (unless otherwise agreed by the Parties, one in March and one in October) shall where reasonably practicable be in person at places as agreed to by the Parties, and the remaining meetings in such year shall be held via tele-conference or video-conference. Each Party shall bear its own personnel and travel costs and expenses relating to JSC meetings. The co-chairs of the JSC shall chair JSC meetings and be responsible for preparing the meeting agendas and minutes on an alternating basis. At such meetings, Licensee and X4 shall discuss and/or keep informed the Parties about the Licensed Product business aspects, including, but not limited to, supply chain, regulatory, pharmacovigilance, commercial, medical, marketing and forecasting. At an in-person meeting at a time to be agreed between the Parties, Licensee and X4 shall: (i) analyse and review, with respect to the Licensed Product, the market, performance and planning for the following twelve (12) months from a supply chain and commercial activity perspective; (ii) review and discuss the subsequent year's Performance Plan, and (iii) discuss the future supply and manufacture of the Licensed Product following the expiry of the period set out in </w:t>
      </w:r>
      <w:r>
        <w:rPr>
          <w:rFonts w:ascii="Arial" w:cs="Arial" w:eastAsia="Arial" w:hAnsi="Arial"/>
          <w:sz w:val="18"/>
          <w:szCs w:val="18"/>
          <w:u w:val="single" w:color="auto"/>
          <w:color w:val="auto"/>
        </w:rPr>
        <w:t>Section 4.1</w:t>
      </w:r>
      <w:r>
        <w:rPr>
          <w:rFonts w:ascii="Arial" w:cs="Arial" w:eastAsia="Arial" w:hAnsi="Arial"/>
          <w:sz w:val="18"/>
          <w:szCs w:val="18"/>
          <w:color w:val="auto"/>
        </w:rPr>
        <w:t>. Meeting minutes including follow-up actions shall be prepared promptly following each JSC meeting and in any event within [***] Working Days.</w:t>
      </w:r>
    </w:p>
    <w:p>
      <w:pPr>
        <w:spacing w:after="0" w:line="188" w:lineRule="exact"/>
        <w:rPr>
          <w:sz w:val="20"/>
          <w:szCs w:val="20"/>
          <w:color w:val="auto"/>
        </w:rPr>
      </w:pPr>
    </w:p>
    <w:p>
      <w:pPr>
        <w:jc w:val="both"/>
        <w:ind w:left="600" w:hanging="635"/>
        <w:spacing w:after="0" w:line="253" w:lineRule="auto"/>
        <w:tabs>
          <w:tab w:leader="none" w:pos="5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u w:val="single" w:color="auto"/>
          <w:color w:val="auto"/>
        </w:rPr>
        <w:t>No Committee Amendments; Authorit</w:t>
      </w:r>
      <w:r>
        <w:rPr>
          <w:rFonts w:ascii="Arial" w:cs="Arial" w:eastAsia="Arial" w:hAnsi="Arial"/>
          <w:sz w:val="18"/>
          <w:szCs w:val="18"/>
          <w:color w:val="auto"/>
        </w:rPr>
        <w:t>y. Notwithstanding the creation of the JSC, each Party to this Agreement shall retain the rights,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powers, and discretion granted to it hereunder, and the JSC shall not be delegated or vested with any such rights, powers, or discretion unless such delegation or vesting is expressly provided for herein or the Parties expressly so agree in writing. The JSC shall have no power to amend or modify this Agreement, which may be amended or modified only as provided in </w:t>
      </w:r>
      <w:r>
        <w:rPr>
          <w:rFonts w:ascii="Arial" w:cs="Arial" w:eastAsia="Arial" w:hAnsi="Arial"/>
          <w:sz w:val="18"/>
          <w:szCs w:val="18"/>
          <w:u w:val="single" w:color="auto"/>
          <w:color w:val="auto"/>
        </w:rPr>
        <w:t>Section 19.5</w:t>
      </w:r>
      <w:r>
        <w:rPr>
          <w:rFonts w:ascii="Arial" w:cs="Arial" w:eastAsia="Arial" w:hAnsi="Arial"/>
          <w:sz w:val="18"/>
          <w:szCs w:val="18"/>
          <w:color w:val="auto"/>
        </w:rPr>
        <w:t xml:space="preserve"> of this Agreement, or take any decision in relation to the development or commercialization activities of either Party.</w:t>
      </w:r>
    </w:p>
    <w:p>
      <w:pPr>
        <w:spacing w:after="0" w:line="179" w:lineRule="exact"/>
        <w:rPr>
          <w:sz w:val="20"/>
          <w:szCs w:val="20"/>
          <w:color w:val="auto"/>
        </w:rPr>
      </w:pPr>
    </w:p>
    <w:p>
      <w:pPr>
        <w:jc w:val="both"/>
        <w:ind w:left="560" w:hanging="635"/>
        <w:spacing w:after="0" w:line="249" w:lineRule="auto"/>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u w:val="single" w:color="auto"/>
          <w:color w:val="auto"/>
        </w:rPr>
        <w:t>Subcommittees</w:t>
      </w:r>
      <w:r>
        <w:rPr>
          <w:rFonts w:ascii="Arial" w:cs="Arial" w:eastAsia="Arial" w:hAnsi="Arial"/>
          <w:sz w:val="18"/>
          <w:szCs w:val="18"/>
          <w:color w:val="auto"/>
        </w:rPr>
        <w:t>. From time to time, the JSC may establish and delegate duties to subcommittees (each, a "</w:t>
      </w:r>
      <w:r>
        <w:rPr>
          <w:rFonts w:ascii="Arial" w:cs="Arial" w:eastAsia="Arial" w:hAnsi="Arial"/>
          <w:sz w:val="18"/>
          <w:szCs w:val="18"/>
          <w:b w:val="1"/>
          <w:bCs w:val="1"/>
          <w:color w:val="auto"/>
        </w:rPr>
        <w:t>Subcommittee</w:t>
      </w:r>
      <w:r>
        <w:rPr>
          <w:rFonts w:ascii="Arial" w:cs="Arial" w:eastAsia="Arial" w:hAnsi="Arial"/>
          <w:sz w:val="18"/>
          <w:szCs w:val="18"/>
          <w:color w:val="auto"/>
        </w:rPr>
        <w:t>") on an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needed" basis to oversee particular projects or activities (e.g., development and/or manufacturing), including some or all of the matters in </w:t>
      </w:r>
      <w:r>
        <w:rPr>
          <w:rFonts w:ascii="Arial" w:cs="Arial" w:eastAsia="Arial" w:hAnsi="Arial"/>
          <w:sz w:val="18"/>
          <w:szCs w:val="18"/>
          <w:u w:val="single" w:color="auto"/>
          <w:color w:val="auto"/>
        </w:rPr>
        <w:t>Sections 11.1.1 to 11.1.16</w:t>
      </w:r>
      <w:r>
        <w:rPr>
          <w:rFonts w:ascii="Arial" w:cs="Arial" w:eastAsia="Arial" w:hAnsi="Arial"/>
          <w:sz w:val="18"/>
          <w:szCs w:val="18"/>
          <w:color w:val="auto"/>
        </w:rPr>
        <w:t xml:space="preserve">. Each Subcommittee will consist of a mutually agreed number of representatives from each Party, and will meet from time to time upon mutual agreement between representatives from each Party. The decision-making within a Subcommittee will be by consensus, with each Party's representatives on the applicable Subcommittee collectively having one (1) vote on all matters brought before the Subcommittee. Each Subcommittee and its activities will be subject to the direction, review and approval of, and will report to, the JSC. In no event will the authority of the Subcommittee exceed that specified for the JSC in this </w:t>
      </w:r>
      <w:r>
        <w:rPr>
          <w:rFonts w:ascii="Arial" w:cs="Arial" w:eastAsia="Arial" w:hAnsi="Arial"/>
          <w:sz w:val="18"/>
          <w:szCs w:val="18"/>
          <w:u w:val="single" w:color="auto"/>
          <w:color w:val="auto"/>
        </w:rPr>
        <w:t>Article 11</w:t>
      </w:r>
      <w:r>
        <w:rPr>
          <w:rFonts w:ascii="Arial" w:cs="Arial" w:eastAsia="Arial" w:hAnsi="Arial"/>
          <w:sz w:val="18"/>
          <w:szCs w:val="18"/>
          <w:color w:val="auto"/>
        </w:rPr>
        <w:t>. Any matter not resolved by a Subcommittee will be referred to the JSC for resolution. Unless otherwise mutually agreed by the Parties, each Subcommittee will disband upon completion of all the obligations designated by the JSC to such Subcommittee.</w:t>
      </w:r>
    </w:p>
    <w:p>
      <w:pPr>
        <w:spacing w:after="0" w:line="187" w:lineRule="exact"/>
        <w:rPr>
          <w:sz w:val="20"/>
          <w:szCs w:val="20"/>
          <w:color w:val="auto"/>
        </w:rPr>
      </w:pPr>
    </w:p>
    <w:p>
      <w:pPr>
        <w:ind w:left="440" w:hanging="434"/>
        <w:spacing w:after="0"/>
        <w:tabs>
          <w:tab w:leader="none" w:pos="4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19" w:lineRule="exact"/>
        <w:rPr>
          <w:sz w:val="20"/>
          <w:szCs w:val="20"/>
          <w:color w:val="auto"/>
        </w:rPr>
      </w:pPr>
    </w:p>
    <w:p>
      <w:pPr>
        <w:jc w:val="both"/>
        <w:ind w:left="620" w:hanging="635"/>
        <w:spacing w:after="0" w:line="243" w:lineRule="auto"/>
        <w:tabs>
          <w:tab w:leader="none" w:pos="6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u w:val="single" w:color="auto"/>
          <w:color w:val="auto"/>
        </w:rPr>
        <w:t>Initial Term and Subsequent Terms</w:t>
      </w:r>
      <w:r>
        <w:rPr>
          <w:rFonts w:ascii="Arial" w:cs="Arial" w:eastAsia="Arial" w:hAnsi="Arial"/>
          <w:sz w:val="18"/>
          <w:szCs w:val="18"/>
          <w:color w:val="auto"/>
        </w:rPr>
        <w:t>. This Agreement shall be effective as of the Effective Date and continue on a country-by-country</w:t>
      </w:r>
      <w:r>
        <w:rPr>
          <w:rFonts w:ascii="Arial" w:cs="Arial" w:eastAsia="Arial" w:hAnsi="Arial"/>
          <w:sz w:val="18"/>
          <w:szCs w:val="18"/>
          <w:u w:val="single" w:color="auto"/>
          <w:color w:val="auto"/>
        </w:rPr>
        <w:t xml:space="preserve"> </w:t>
      </w:r>
      <w:r>
        <w:rPr>
          <w:rFonts w:ascii="Arial" w:cs="Arial" w:eastAsia="Arial" w:hAnsi="Arial"/>
          <w:sz w:val="18"/>
          <w:szCs w:val="18"/>
          <w:color w:val="auto"/>
        </w:rPr>
        <w:t>basis until the date that is the later of (i) the tenth (10</w:t>
      </w:r>
      <w:r>
        <w:rPr>
          <w:rFonts w:ascii="Arial" w:cs="Arial" w:eastAsia="Arial" w:hAnsi="Arial"/>
          <w:sz w:val="22"/>
          <w:szCs w:val="22"/>
          <w:color w:val="auto"/>
          <w:vertAlign w:val="superscript"/>
        </w:rPr>
        <w:t>th</w:t>
      </w:r>
      <w:r>
        <w:rPr>
          <w:rFonts w:ascii="Arial" w:cs="Arial" w:eastAsia="Arial" w:hAnsi="Arial"/>
          <w:sz w:val="18"/>
          <w:szCs w:val="18"/>
          <w:color w:val="auto"/>
        </w:rPr>
        <w:t>) anniversary of the First Commercial Sale of the Licensed Product; (ii) expiry of the regulatory market exclusivity (including any orphan designation exclusivity) for the Licensed Product; or (iii) the last-to-expire Licensed Patent in such country (hereinafter the "</w:t>
      </w:r>
      <w:r>
        <w:rPr>
          <w:rFonts w:ascii="Arial" w:cs="Arial" w:eastAsia="Arial" w:hAnsi="Arial"/>
          <w:sz w:val="18"/>
          <w:szCs w:val="18"/>
          <w:b w:val="1"/>
          <w:bCs w:val="1"/>
          <w:color w:val="auto"/>
        </w:rPr>
        <w:t>Initial Term</w:t>
      </w:r>
      <w:r>
        <w:rPr>
          <w:rFonts w:ascii="Arial" w:cs="Arial" w:eastAsia="Arial" w:hAnsi="Arial"/>
          <w:sz w:val="18"/>
          <w:szCs w:val="18"/>
          <w:color w:val="auto"/>
        </w:rPr>
        <w:t>"), unless sooner terminated as provided herein. After such Initial Term, the Agreement shall be automatically renewed for additional three (3) year periods (each a "</w:t>
      </w:r>
      <w:r>
        <w:rPr>
          <w:rFonts w:ascii="Arial" w:cs="Arial" w:eastAsia="Arial" w:hAnsi="Arial"/>
          <w:sz w:val="18"/>
          <w:szCs w:val="18"/>
          <w:b w:val="1"/>
          <w:bCs w:val="1"/>
          <w:color w:val="auto"/>
        </w:rPr>
        <w:t>Subsequent Term</w:t>
      </w:r>
      <w:r>
        <w:rPr>
          <w:rFonts w:ascii="Arial" w:cs="Arial" w:eastAsia="Arial" w:hAnsi="Arial"/>
          <w:sz w:val="18"/>
          <w:szCs w:val="18"/>
          <w:color w:val="auto"/>
        </w:rPr>
        <w:t>"), unless either Party gives written notice to the other of termination at least [***] prior to the expiry of the Initial Term or Subsequent Term, as applicable, upon which this Agreement shall terminate and expire at the expiry of the Initial Term or then current Subsequent Term, as applicable (the Initial Term and Subsequent Terms together,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397510</wp:posOffset>
            </wp:positionV>
            <wp:extent cx="7134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95" w:right="339" w:bottom="1440" w:gutter="0" w:footer="0" w:header="0"/>
        </w:sectPr>
      </w:pPr>
    </w:p>
    <w:bookmarkStart w:id="164" w:name="page165"/>
    <w:bookmarkEnd w:id="164"/>
    <w:p>
      <w:pPr>
        <w:jc w:val="both"/>
        <w:ind w:left="640" w:hanging="635"/>
        <w:spacing w:after="0" w:line="274"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0">
                      <a:extLst>
                        <a:ext uri="{28A0092B-C50C-407E-A947-70E740481C1C}"/>
                      </a:extLst>
                    </a:blip>
                    <a:srcRect/>
                    <a:stretch>
                      <a:fillRect/>
                    </a:stretch>
                  </pic:blipFill>
                  <pic:spPr bwMode="auto">
                    <a:xfrm>
                      <a:off x="0" y="0"/>
                      <a:ext cx="7134860" cy="8255"/>
                    </a:xfrm>
                    <a:prstGeom prst="rect">
                      <a:avLst/>
                    </a:prstGeom>
                    <a:noFill/>
                  </pic:spPr>
                </pic:pic>
              </a:graphicData>
            </a:graphic>
          </wp:anchor>
        </w:drawing>
        <w:t>12.2</w:t>
      </w:r>
      <w:r>
        <w:rPr>
          <w:sz w:val="20"/>
          <w:szCs w:val="20"/>
          <w:color w:val="auto"/>
        </w:rPr>
        <w:tab/>
      </w:r>
      <w:r>
        <w:rPr>
          <w:rFonts w:ascii="Arial" w:cs="Arial" w:eastAsia="Arial" w:hAnsi="Arial"/>
          <w:sz w:val="18"/>
          <w:szCs w:val="18"/>
          <w:u w:val="single" w:color="auto"/>
          <w:color w:val="auto"/>
        </w:rPr>
        <w:t>Licensee Termination At Will</w:t>
      </w:r>
      <w:r>
        <w:rPr>
          <w:rFonts w:ascii="Arial" w:cs="Arial" w:eastAsia="Arial" w:hAnsi="Arial"/>
          <w:sz w:val="18"/>
          <w:szCs w:val="18"/>
          <w:color w:val="auto"/>
        </w:rPr>
        <w:t>. Licensee may terminate this Agreement in its entirety at will, in its sole discretion, on not less than</w:t>
      </w:r>
      <w:r>
        <w:rPr>
          <w:rFonts w:ascii="Arial" w:cs="Arial" w:eastAsia="Arial" w:hAnsi="Arial"/>
          <w:sz w:val="18"/>
          <w:szCs w:val="18"/>
          <w:u w:val="single" w:color="auto"/>
          <w:color w:val="auto"/>
        </w:rPr>
        <w:t xml:space="preserve"> </w:t>
      </w:r>
      <w:r>
        <w:rPr>
          <w:rFonts w:ascii="Arial" w:cs="Arial" w:eastAsia="Arial" w:hAnsi="Arial"/>
          <w:sz w:val="18"/>
          <w:szCs w:val="18"/>
          <w:color w:val="auto"/>
        </w:rPr>
        <w:t>[***]days’ prior written notice to X4.</w:t>
      </w:r>
    </w:p>
    <w:p>
      <w:pPr>
        <w:spacing w:after="0" w:line="163" w:lineRule="exact"/>
        <w:rPr>
          <w:sz w:val="20"/>
          <w:szCs w:val="20"/>
          <w:color w:val="auto"/>
        </w:rPr>
      </w:pPr>
    </w:p>
    <w:p>
      <w:pPr>
        <w:jc w:val="both"/>
        <w:ind w:left="580" w:hanging="635"/>
        <w:spacing w:after="0" w:line="250" w:lineRule="auto"/>
        <w:tabs>
          <w:tab w:leader="none" w:pos="5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u w:val="single" w:color="auto"/>
          <w:color w:val="auto"/>
        </w:rPr>
        <w:t>Termination for Breach</w:t>
      </w:r>
      <w:r>
        <w:rPr>
          <w:rFonts w:ascii="Arial" w:cs="Arial" w:eastAsia="Arial" w:hAnsi="Arial"/>
          <w:sz w:val="18"/>
          <w:szCs w:val="18"/>
          <w:color w:val="auto"/>
        </w:rPr>
        <w:t>. Upon the occurrence of a material breach of this Agreement, the Party aggrieved by such breach is entitled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give to the other Party written notice thereof. If within [***] days from the defaulting Party's receipt of such written notice, the defaulting Party has failed or refused to remedy such material breach, the aggrieved Party shall have the right to terminate this Agreement forthwith by giving written notice to the breaching Party to such effect; provided, however, that if such breach is capable of being cured but cannot be cured within such [***] day period and the breaching Party initiates actions to cure such breach within such period and thereafter diligently pursues such actions, the breaching Party shall have such additional period as is reasonable in the circumstances to cure such breach.</w:t>
      </w:r>
    </w:p>
    <w:p>
      <w:pPr>
        <w:spacing w:after="0" w:line="226" w:lineRule="exact"/>
        <w:rPr>
          <w:sz w:val="20"/>
          <w:szCs w:val="20"/>
          <w:color w:val="auto"/>
        </w:rPr>
      </w:pPr>
    </w:p>
    <w:p>
      <w:pPr>
        <w:jc w:val="both"/>
        <w:ind w:left="560" w:hanging="635"/>
        <w:spacing w:after="0" w:line="247" w:lineRule="auto"/>
        <w:tabs>
          <w:tab w:leader="none" w:pos="5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u w:val="single" w:color="auto"/>
          <w:color w:val="auto"/>
        </w:rPr>
        <w:t>Termination for Patent Challenge</w:t>
      </w:r>
      <w:r>
        <w:rPr>
          <w:rFonts w:ascii="Arial" w:cs="Arial" w:eastAsia="Arial" w:hAnsi="Arial"/>
          <w:sz w:val="18"/>
          <w:szCs w:val="18"/>
          <w:color w:val="auto"/>
        </w:rPr>
        <w:t>. In the event that Licensee, or any of its Affiliates, institutes, prosecutes or otherwise participates in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any way aids any Third Party in instituting, prosecuting or participating in), at law or in equity or before any administrative or regulatory body, including the United States Patent and Trademark Office or its foreign counterparts, any claim, demand, action or cause of action for declaratory relief, damages or any other remedy or for an enjoinment, injunction or any other equitable remedy, including any interference, re-examination, post grant review, opposition or any similar proceeding, alleging that any claim in a Genzyme Patent is invalid, unenforceable or otherwise not patentable (a “</w:t>
      </w:r>
      <w:r>
        <w:rPr>
          <w:rFonts w:ascii="Arial" w:cs="Arial" w:eastAsia="Arial" w:hAnsi="Arial"/>
          <w:sz w:val="18"/>
          <w:szCs w:val="18"/>
          <w:b w:val="1"/>
          <w:bCs w:val="1"/>
          <w:color w:val="auto"/>
        </w:rPr>
        <w:t>Patent Challenge</w:t>
      </w:r>
      <w:r>
        <w:rPr>
          <w:rFonts w:ascii="Arial" w:cs="Arial" w:eastAsia="Arial" w:hAnsi="Arial"/>
          <w:sz w:val="18"/>
          <w:szCs w:val="18"/>
          <w:color w:val="auto"/>
        </w:rPr>
        <w:t xml:space="preserve">”) (except as required under a court order or subpoena), X4 may terminate this Agreement immediately upon written notice to Licensee. In the event that a sublicensee of Licensee or an Affiliate thereof institutes, prosecutes or otherwise participates in (or in any way aids any Third Party in instituting, prosecuting or participating in) a Patent Challenge (except as required under a court order or subpoena), then X4 may send a written demand to Licensee to terminate such sublicense in the event such sublicensee fails to withdraw such Patent Challenge or such Patent Challenge is otherwise not dismissed within [***] days following X4’s written demand. If such sublicensee fails to withdraw such Patent Challenge or such Patent Challenge is not dismissed within such [***]day period, and thereafter, Licensee shall terminate such sublicense within the following [***] days. Notwithstanding the foregoing, X4 shall not have any termination rights pursuant to this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on account of any Patent Challenge that is either (i) a legal or administrative challenge asserted as a counterclaim in an action initiated by or under the authority of X4 against Licensee, its sublicensees or their respective Affiliates; or (ii) a declaratory action proceeding brought against X4 with respect to the validity, patentability or enforceability of any Licensed Patent as a result of X4 threatening to bring any action against Licensee, its sublicensees, or their respective Affiliates.</w:t>
      </w:r>
    </w:p>
    <w:p>
      <w:pPr>
        <w:spacing w:after="0" w:line="195" w:lineRule="exact"/>
        <w:rPr>
          <w:sz w:val="20"/>
          <w:szCs w:val="20"/>
          <w:color w:val="auto"/>
        </w:rPr>
      </w:pPr>
    </w:p>
    <w:p>
      <w:pPr>
        <w:jc w:val="both"/>
        <w:ind w:left="540" w:hanging="635"/>
        <w:spacing w:after="0" w:line="255" w:lineRule="auto"/>
        <w:tabs>
          <w:tab w:leader="none" w:pos="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u w:val="single" w:color="auto"/>
          <w:color w:val="auto"/>
        </w:rPr>
        <w:t>Termination of the Head License</w:t>
      </w:r>
      <w:r>
        <w:rPr>
          <w:rFonts w:ascii="Arial" w:cs="Arial" w:eastAsia="Arial" w:hAnsi="Arial"/>
          <w:sz w:val="18"/>
          <w:szCs w:val="18"/>
          <w:color w:val="auto"/>
        </w:rPr>
        <w:t>. In the event of termination of the Head License for any reason, this Agreement shall remain in full force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effect; provided, that, (a) Licensee is not then in breach of this Agreement and agrees to be bound to Genzyme as a direct licensee under the terms and conditions of this Agreement; and (b) Licensee promptly enters into appropriate agreements or amendments to this Agreement to substitute X4 for Genzyme as the licensor hereunder.</w:t>
      </w:r>
    </w:p>
    <w:p>
      <w:pPr>
        <w:spacing w:after="0" w:line="180" w:lineRule="exact"/>
        <w:rPr>
          <w:sz w:val="20"/>
          <w:szCs w:val="20"/>
          <w:color w:val="auto"/>
        </w:rPr>
      </w:pPr>
    </w:p>
    <w:p>
      <w:pPr>
        <w:jc w:val="both"/>
        <w:ind w:left="620" w:hanging="635"/>
        <w:spacing w:after="0" w:line="250" w:lineRule="auto"/>
        <w:tabs>
          <w:tab w:leader="none" w:pos="60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u w:val="single" w:color="auto"/>
          <w:color w:val="auto"/>
        </w:rPr>
        <w:t>Insolvency/Bankruptcy</w:t>
      </w:r>
      <w:r>
        <w:rPr>
          <w:rFonts w:ascii="Arial" w:cs="Arial" w:eastAsia="Arial" w:hAnsi="Arial"/>
          <w:sz w:val="18"/>
          <w:szCs w:val="18"/>
          <w:color w:val="auto"/>
        </w:rPr>
        <w:t>. In the event that a Party be adjudicated insolvent, or file a petition in bankruptcy or for reorganisation, or if a</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Party should take advantage of an insolvency act, or effect an assignment for the benefit of creditors (other than for purposes of consolidation or voluntary restructuring), or any step, application, order, proceeding or appointment is taken or made by or in respect of a Party for a distress, execution, composition or arrangement with creditors, winding up, dissolution, administration, receivership (administrative or otherwise) or bankruptcy, or if that Party is unable to pay its debts or if any event occurs which, under the Applicable Law of any jurisdiction to which it is subject, has an effect similar to that of any of the events referred to in this </w:t>
      </w: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then, the other Party may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398780</wp:posOffset>
            </wp:positionV>
            <wp:extent cx="7134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95" w:right="339" w:bottom="1440" w:gutter="0" w:footer="0" w:header="0"/>
        </w:sectPr>
      </w:pPr>
    </w:p>
    <w:bookmarkStart w:id="165" w:name="page166"/>
    <w:bookmarkEnd w:id="165"/>
    <w:p>
      <w:pPr>
        <w:jc w:val="both"/>
        <w:ind w:left="6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2">
                      <a:extLst>
                        <a:ext uri="{28A0092B-C50C-407E-A947-70E740481C1C}"/>
                      </a:extLst>
                    </a:blip>
                    <a:srcRect/>
                    <a:stretch>
                      <a:fillRect/>
                    </a:stretch>
                  </pic:blipFill>
                  <pic:spPr bwMode="auto">
                    <a:xfrm>
                      <a:off x="0" y="0"/>
                      <a:ext cx="7134860" cy="8255"/>
                    </a:xfrm>
                    <a:prstGeom prst="rect">
                      <a:avLst/>
                    </a:prstGeom>
                    <a:noFill/>
                  </pic:spPr>
                </pic:pic>
              </a:graphicData>
            </a:graphic>
          </wp:anchor>
        </w:drawing>
        <w:t>forthwith, and subject to Applicable Laws the rights herein granted shall not constitute an asset in reorganisation, bankruptcy or insolvency which may be assigned, or which may accrue, to any court or creditor-appointed referee, receiver or committee. In any event when a Party first becomes aware of the likely occurrence of any such insolvency event in regard to that Party, it shall, to the extent reasonably practicable, promptly notify the other Party in writing in sufficient time to give the other Party sufficient notice to protect its interests under this Agreement.</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u w:val="single" w:color="auto"/>
          <w:color w:val="auto"/>
        </w:rPr>
        <w:t>Rights in Bankruptcy</w:t>
      </w:r>
      <w:r>
        <w:rPr>
          <w:rFonts w:ascii="Arial" w:cs="Arial" w:eastAsia="Arial" w:hAnsi="Arial"/>
          <w:sz w:val="17"/>
          <w:szCs w:val="17"/>
          <w:color w:val="auto"/>
        </w:rPr>
        <w:t>.</w:t>
      </w:r>
    </w:p>
    <w:p>
      <w:pPr>
        <w:spacing w:after="0" w:line="217" w:lineRule="exact"/>
        <w:rPr>
          <w:sz w:val="20"/>
          <w:szCs w:val="20"/>
          <w:color w:val="auto"/>
        </w:rPr>
      </w:pPr>
    </w:p>
    <w:p>
      <w:pPr>
        <w:jc w:val="both"/>
        <w:ind w:left="1280" w:hanging="635"/>
        <w:spacing w:after="0" w:line="261" w:lineRule="auto"/>
        <w:tabs>
          <w:tab w:leader="none" w:pos="1260" w:val="left"/>
        </w:tabs>
        <w:rPr>
          <w:sz w:val="20"/>
          <w:szCs w:val="20"/>
          <w:color w:val="auto"/>
        </w:rPr>
      </w:pPr>
      <w:r>
        <w:rPr>
          <w:rFonts w:ascii="Arial" w:cs="Arial" w:eastAsia="Arial" w:hAnsi="Arial"/>
          <w:sz w:val="18"/>
          <w:szCs w:val="18"/>
          <w:color w:val="auto"/>
        </w:rPr>
        <w:t>12.7.1</w:t>
      </w:r>
      <w:r>
        <w:rPr>
          <w:sz w:val="20"/>
          <w:szCs w:val="20"/>
          <w:color w:val="auto"/>
        </w:rPr>
        <w:tab/>
      </w:r>
      <w:r>
        <w:rPr>
          <w:rFonts w:ascii="Arial" w:cs="Arial" w:eastAsia="Arial" w:hAnsi="Arial"/>
          <w:sz w:val="17"/>
          <w:szCs w:val="17"/>
          <w:color w:val="auto"/>
        </w:rPr>
        <w:t>The Parties agree that this Agreement constitutes an executory contract under Section 365 of the Code for the license of "intellectual property" as defined under Section 101 of the United States Bankruptcy Code, 11 U.S.C. (the "</w:t>
      </w:r>
      <w:r>
        <w:rPr>
          <w:rFonts w:ascii="Arial" w:cs="Arial" w:eastAsia="Arial" w:hAnsi="Arial"/>
          <w:sz w:val="17"/>
          <w:szCs w:val="17"/>
          <w:b w:val="1"/>
          <w:bCs w:val="1"/>
          <w:color w:val="auto"/>
        </w:rPr>
        <w:t>Code</w:t>
      </w:r>
      <w:r>
        <w:rPr>
          <w:rFonts w:ascii="Arial" w:cs="Arial" w:eastAsia="Arial" w:hAnsi="Arial"/>
          <w:sz w:val="17"/>
          <w:szCs w:val="17"/>
          <w:color w:val="auto"/>
        </w:rPr>
        <w:t>") and constitutes a license of "intellectual property" for purposes of any similar Applicable Laws in any other country in the Territory. The Parties further agree that Licensee, as licensee of such rights under this Agreement, will retain and may fully exercise all of its protections, rights and elections under the Code, including Section 365(n) of the Code, and any similar Applicable Laws in any other country in the Territory. The Parties further agree that, in the event of the commencement of a bankruptcy proceeding by or against X4 under the Code and any similar Applicable Laws in any other country in the Territory, Licensee will be entitled to a complete duplicate of (or complete access to, as appropriate) any such intellectual property and all embodiments of such intellectual property, and the same, if not already in its possession, will be promptly delivered to it (i) upon any such commencement of a bankruptcy proceeding upon its written request therefor, unless and until the rejection of this Agreement by or on behalf of X4 as provided in the Code; or (ii) if not delivered under clause (i) above, upon written request therefor by Licensee following (A) the rejection of this Agreement by or on behalf of X4 upon written request therefor by Licensee, and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 the timely election by Licensee to retain its rights pursuant to Section 365(n)(1)(B) of the Code.</w:t>
      </w:r>
    </w:p>
    <w:p>
      <w:pPr>
        <w:spacing w:after="0" w:line="201" w:lineRule="exact"/>
        <w:rPr>
          <w:sz w:val="20"/>
          <w:szCs w:val="20"/>
          <w:color w:val="auto"/>
        </w:rPr>
      </w:pPr>
    </w:p>
    <w:p>
      <w:pPr>
        <w:jc w:val="both"/>
        <w:ind w:left="1280" w:hanging="635"/>
        <w:spacing w:after="0" w:line="263" w:lineRule="auto"/>
        <w:tabs>
          <w:tab w:leader="none" w:pos="1260" w:val="left"/>
        </w:tabs>
        <w:rPr>
          <w:sz w:val="20"/>
          <w:szCs w:val="20"/>
          <w:color w:val="auto"/>
        </w:rPr>
      </w:pPr>
      <w:r>
        <w:rPr>
          <w:rFonts w:ascii="Arial" w:cs="Arial" w:eastAsia="Arial" w:hAnsi="Arial"/>
          <w:sz w:val="18"/>
          <w:szCs w:val="18"/>
          <w:color w:val="auto"/>
        </w:rPr>
        <w:t>12.7.2</w:t>
      </w:r>
      <w:r>
        <w:rPr>
          <w:sz w:val="20"/>
          <w:szCs w:val="20"/>
          <w:color w:val="auto"/>
        </w:rPr>
        <w:tab/>
      </w:r>
      <w:r>
        <w:rPr>
          <w:rFonts w:ascii="Arial" w:cs="Arial" w:eastAsia="Arial" w:hAnsi="Arial"/>
          <w:sz w:val="17"/>
          <w:szCs w:val="17"/>
          <w:color w:val="auto"/>
        </w:rPr>
        <w:t xml:space="preserve">All rights, powers and remedies of Licensee provided for in this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are in addition to and not in substitution for any and all other rights, powers and remedies now or hereafter existing at law or in equity (including under the Code and any similar Applicable Laws in any other country in the Territory). In the event of an insolvency event described in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in relation to X4, Licensee, in addition to the rights, power and remedies expressly provided herein, shall be entitled to exercise all other such rights and powers and resort to all other such remedies as may now or hereafter exist at law or in equity (including under the Code). The Parties agree that they intend the following Licensee rights to extend to the maximum extent permitted by Applicable Law, including for purposes of the Code: (i) the right of access to any and all intellectual property (including all embodiments thereof) and regardless if it is included in the definition of "intellectual property" as defined by the Code, of X4, or any Third Party with whom X4 contracts to perform an obligation of X4 under this Agreement which is necessary or reasonably useful for the import, export, promotion, distribution, manufacture, marketing, advertisement, offering for sale and/or sale of the Licensed Product in the Territory; (ii) the right to contract directly with any Third Party described in clause (i) to complete the contracted work; (iii) the right to cure any breach of or default under any such agreement with a Third Party and set off the costs thereof against amounts payable to X4 under this Agreement; and/or (iv) the right to step-in to pay X4's renewal fees and take all other steps as required to maintain the Licensed Patents the X4 Trademark and the Marketing Authorizations in the Territory.</w:t>
      </w:r>
    </w:p>
    <w:p>
      <w:pPr>
        <w:spacing w:after="0" w:line="179" w:lineRule="exact"/>
        <w:rPr>
          <w:sz w:val="20"/>
          <w:szCs w:val="20"/>
          <w:color w:val="auto"/>
        </w:rPr>
      </w:pPr>
    </w:p>
    <w:p>
      <w:pPr>
        <w:ind w:left="440" w:hanging="434"/>
        <w:spacing w:after="0"/>
        <w:tabs>
          <w:tab w:leader="none" w:pos="4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419100</wp:posOffset>
            </wp:positionV>
            <wp:extent cx="71348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95" w:right="339" w:bottom="1440" w:gutter="0" w:footer="0" w:header="0"/>
        </w:sectPr>
      </w:pPr>
    </w:p>
    <w:bookmarkStart w:id="166" w:name="page167"/>
    <w:bookmarkEnd w:id="166"/>
    <w:p>
      <w:pPr>
        <w:jc w:val="both"/>
        <w:ind w:left="620" w:hanging="635"/>
        <w:spacing w:after="0" w:line="274" w:lineRule="auto"/>
        <w:tabs>
          <w:tab w:leader="none" w:pos="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4">
                      <a:extLst>
                        <a:ext uri="{28A0092B-C50C-407E-A947-70E740481C1C}"/>
                      </a:extLst>
                    </a:blip>
                    <a:srcRect/>
                    <a:stretch>
                      <a:fillRect/>
                    </a:stretch>
                  </pic:blipFill>
                  <pic:spPr bwMode="auto">
                    <a:xfrm>
                      <a:off x="0" y="0"/>
                      <a:ext cx="7134860" cy="8255"/>
                    </a:xfrm>
                    <a:prstGeom prst="rect">
                      <a:avLst/>
                    </a:prstGeom>
                    <a:noFill/>
                  </pic:spPr>
                </pic:pic>
              </a:graphicData>
            </a:graphic>
          </wp:anchor>
        </w:drawing>
        <w:t>13.1</w:t>
      </w:r>
      <w:r>
        <w:rPr>
          <w:sz w:val="20"/>
          <w:szCs w:val="20"/>
          <w:color w:val="auto"/>
        </w:rPr>
        <w:tab/>
      </w:r>
      <w:r>
        <w:rPr>
          <w:rFonts w:ascii="Arial" w:cs="Arial" w:eastAsia="Arial" w:hAnsi="Arial"/>
          <w:sz w:val="18"/>
          <w:szCs w:val="18"/>
          <w:u w:val="single" w:color="auto"/>
          <w:color w:val="auto"/>
        </w:rPr>
        <w:t>Accrued Ri</w:t>
      </w:r>
      <w:r>
        <w:rPr>
          <w:rFonts w:ascii="Arial" w:cs="Arial" w:eastAsia="Arial" w:hAnsi="Arial"/>
          <w:sz w:val="18"/>
          <w:szCs w:val="18"/>
          <w:color w:val="auto"/>
        </w:rPr>
        <w:t>g</w:t>
      </w:r>
      <w:r>
        <w:rPr>
          <w:rFonts w:ascii="Arial" w:cs="Arial" w:eastAsia="Arial" w:hAnsi="Arial"/>
          <w:sz w:val="18"/>
          <w:szCs w:val="18"/>
          <w:u w:val="single" w:color="auto"/>
          <w:color w:val="auto"/>
        </w:rPr>
        <w:t>hts</w:t>
      </w:r>
      <w:r>
        <w:rPr>
          <w:rFonts w:ascii="Arial" w:cs="Arial" w:eastAsia="Arial" w:hAnsi="Arial"/>
          <w:sz w:val="18"/>
          <w:szCs w:val="18"/>
          <w:color w:val="auto"/>
        </w:rPr>
        <w:t>. The termination of this Agreement for whatever reason shall not affect the respective rights and liabilities of X4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Licensee which have accrued prior to such termination.</w:t>
      </w:r>
    </w:p>
    <w:p>
      <w:pPr>
        <w:spacing w:after="0" w:line="163" w:lineRule="exact"/>
        <w:rPr>
          <w:sz w:val="20"/>
          <w:szCs w:val="20"/>
          <w:color w:val="auto"/>
        </w:rPr>
      </w:pPr>
    </w:p>
    <w:p>
      <w:pPr>
        <w:jc w:val="both"/>
        <w:ind w:left="640" w:hanging="635"/>
        <w:spacing w:after="0" w:line="255"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u w:val="single" w:color="auto"/>
          <w:color w:val="auto"/>
        </w:rPr>
        <w:t>Termination by Licensee for Cause or Force Ma</w:t>
      </w:r>
      <w:r>
        <w:rPr>
          <w:rFonts w:ascii="Arial" w:cs="Arial" w:eastAsia="Arial" w:hAnsi="Arial"/>
          <w:sz w:val="18"/>
          <w:szCs w:val="18"/>
          <w:color w:val="auto"/>
        </w:rPr>
        <w:t>j</w:t>
      </w:r>
      <w:r>
        <w:rPr>
          <w:rFonts w:ascii="Arial" w:cs="Arial" w:eastAsia="Arial" w:hAnsi="Arial"/>
          <w:sz w:val="18"/>
          <w:szCs w:val="18"/>
          <w:u w:val="single" w:color="auto"/>
          <w:color w:val="auto"/>
        </w:rPr>
        <w:t>eure</w:t>
      </w:r>
      <w:r>
        <w:rPr>
          <w:rFonts w:ascii="Arial" w:cs="Arial" w:eastAsia="Arial" w:hAnsi="Arial"/>
          <w:sz w:val="18"/>
          <w:szCs w:val="18"/>
          <w:color w:val="auto"/>
        </w:rPr>
        <w:t>. Upon termination of this Agreement by Licensee pursuant to</w:t>
      </w:r>
      <w:r>
        <w:rPr>
          <w:rFonts w:ascii="Arial" w:cs="Arial" w:eastAsia="Arial" w:hAnsi="Arial"/>
          <w:sz w:val="18"/>
          <w:szCs w:val="18"/>
          <w:u w:val="single" w:color="auto"/>
          <w:color w:val="auto"/>
        </w:rPr>
        <w:t xml:space="preserve"> Sections 12.3 </w:t>
      </w:r>
      <w:r>
        <w:rPr>
          <w:rFonts w:ascii="Arial" w:cs="Arial" w:eastAsia="Arial" w:hAnsi="Arial"/>
          <w:sz w:val="18"/>
          <w:szCs w:val="18"/>
          <w:color w:val="auto"/>
        </w:rPr>
        <w:t xml:space="preserve">(Termination for Breach), </w:t>
      </w:r>
      <w:r>
        <w:rPr>
          <w:rFonts w:ascii="Arial" w:cs="Arial" w:eastAsia="Arial" w:hAnsi="Arial"/>
          <w:sz w:val="18"/>
          <w:szCs w:val="18"/>
          <w:u w:val="single" w:color="auto"/>
          <w:color w:val="auto"/>
        </w:rPr>
        <w:t>12.6</w:t>
      </w:r>
      <w:r>
        <w:rPr>
          <w:rFonts w:ascii="Arial" w:cs="Arial" w:eastAsia="Arial" w:hAnsi="Arial"/>
          <w:sz w:val="18"/>
          <w:szCs w:val="18"/>
          <w:color w:val="auto"/>
        </w:rPr>
        <w:t xml:space="preserve"> (Insolvency/Bankruptcy) or </w:t>
      </w:r>
      <w:r>
        <w:rPr>
          <w:rFonts w:ascii="Arial" w:cs="Arial" w:eastAsia="Arial" w:hAnsi="Arial"/>
          <w:sz w:val="18"/>
          <w:szCs w:val="18"/>
          <w:u w:val="single" w:color="auto"/>
          <w:color w:val="auto"/>
        </w:rPr>
        <w:t>19.2</w:t>
      </w:r>
      <w:r>
        <w:rPr>
          <w:rFonts w:ascii="Arial" w:cs="Arial" w:eastAsia="Arial" w:hAnsi="Arial"/>
          <w:sz w:val="18"/>
          <w:szCs w:val="18"/>
          <w:color w:val="auto"/>
        </w:rPr>
        <w:t xml:space="preserve"> (Force Majeure) all licenses and rights granted by each Party under this Agreement shall terminate (subject to </w:t>
      </w:r>
      <w:r>
        <w:rPr>
          <w:rFonts w:ascii="Arial" w:cs="Arial" w:eastAsia="Arial" w:hAnsi="Arial"/>
          <w:sz w:val="18"/>
          <w:szCs w:val="18"/>
          <w:u w:val="single" w:color="auto"/>
          <w:color w:val="auto"/>
        </w:rPr>
        <w:t>Section 13.3.8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13.3.1</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13.3.8</w:t>
      </w:r>
      <w:r>
        <w:rPr>
          <w:rFonts w:ascii="Arial" w:cs="Arial" w:eastAsia="Arial" w:hAnsi="Arial"/>
          <w:sz w:val="18"/>
          <w:szCs w:val="18"/>
          <w:color w:val="auto"/>
        </w:rPr>
        <w:t xml:space="preserve"> shall apply; unless Licensee elects in the relevant termination notice to continue the licenses and rights granted hereunder, in which case:</w:t>
      </w:r>
    </w:p>
    <w:p>
      <w:pPr>
        <w:spacing w:after="0" w:line="180" w:lineRule="exact"/>
        <w:rPr>
          <w:sz w:val="20"/>
          <w:szCs w:val="20"/>
          <w:color w:val="auto"/>
        </w:rPr>
      </w:pPr>
    </w:p>
    <w:p>
      <w:pPr>
        <w:jc w:val="both"/>
        <w:ind w:left="1280" w:hanging="635"/>
        <w:spacing w:after="0" w:line="274" w:lineRule="auto"/>
        <w:tabs>
          <w:tab w:leader="none" w:pos="1260" w:val="left"/>
        </w:tabs>
        <w:rPr>
          <w:sz w:val="20"/>
          <w:szCs w:val="20"/>
          <w:color w:val="auto"/>
        </w:rPr>
      </w:pPr>
      <w:r>
        <w:rPr>
          <w:rFonts w:ascii="Arial" w:cs="Arial" w:eastAsia="Arial" w:hAnsi="Arial"/>
          <w:sz w:val="18"/>
          <w:szCs w:val="18"/>
          <w:color w:val="auto"/>
        </w:rPr>
        <w:t>13.2.1</w:t>
        <w:tab/>
        <w:t>the licenses and other rights granted by X4 to Licensee under this Agreement, and any sublicenses granted by Licensee (including through multiple tiers), shall remain in effect in accordance with their respective terms; and</w:t>
      </w:r>
    </w:p>
    <w:p>
      <w:pPr>
        <w:spacing w:after="0" w:line="163" w:lineRule="exact"/>
        <w:rPr>
          <w:sz w:val="20"/>
          <w:szCs w:val="20"/>
          <w:color w:val="auto"/>
        </w:rPr>
      </w:pPr>
    </w:p>
    <w:p>
      <w:pPr>
        <w:jc w:val="both"/>
        <w:ind w:left="1280" w:hanging="635"/>
        <w:spacing w:after="0" w:line="260" w:lineRule="auto"/>
        <w:tabs>
          <w:tab w:leader="none" w:pos="1260" w:val="left"/>
        </w:tabs>
        <w:rPr>
          <w:sz w:val="20"/>
          <w:szCs w:val="20"/>
          <w:color w:val="auto"/>
        </w:rPr>
      </w:pPr>
      <w:r>
        <w:rPr>
          <w:rFonts w:ascii="Arial" w:cs="Arial" w:eastAsia="Arial" w:hAnsi="Arial"/>
          <w:sz w:val="18"/>
          <w:szCs w:val="18"/>
          <w:color w:val="auto"/>
        </w:rPr>
        <w:t>13.2.2</w:t>
        <w:tab/>
        <w:t xml:space="preserve">Licensee shall continue to pay X4 in accordance with </w:t>
      </w:r>
      <w:r>
        <w:rPr>
          <w:rFonts w:ascii="Arial" w:cs="Arial" w:eastAsia="Arial" w:hAnsi="Arial"/>
          <w:sz w:val="18"/>
          <w:szCs w:val="18"/>
          <w:u w:val="single" w:color="auto"/>
          <w:color w:val="auto"/>
        </w:rPr>
        <w:t>Article 6</w:t>
      </w:r>
      <w:r>
        <w:rPr>
          <w:rFonts w:ascii="Arial" w:cs="Arial" w:eastAsia="Arial" w:hAnsi="Arial"/>
          <w:sz w:val="18"/>
          <w:szCs w:val="18"/>
          <w:color w:val="auto"/>
        </w:rPr>
        <w:t>; provided that the amount of any not-yet-paid milestone payments and royalty payments payable by Licensee shall be reduced [***]with effect from the date on which Licensee serves the applicable termination notice.</w:t>
      </w:r>
    </w:p>
    <w:p>
      <w:pPr>
        <w:spacing w:after="0" w:line="175" w:lineRule="exact"/>
        <w:rPr>
          <w:sz w:val="20"/>
          <w:szCs w:val="20"/>
          <w:color w:val="auto"/>
        </w:rPr>
      </w:pPr>
    </w:p>
    <w:p>
      <w:pPr>
        <w:jc w:val="both"/>
        <w:ind w:left="580" w:hanging="635"/>
        <w:spacing w:after="0" w:line="253" w:lineRule="auto"/>
        <w:tabs>
          <w:tab w:leader="none" w:pos="5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Termination by X4 for Cause or at will by Licensee or Termination by X4 for Force Ma</w:t>
      </w:r>
      <w:r>
        <w:rPr>
          <w:rFonts w:ascii="Arial" w:cs="Arial" w:eastAsia="Arial" w:hAnsi="Arial"/>
          <w:sz w:val="18"/>
          <w:szCs w:val="18"/>
          <w:color w:val="auto"/>
        </w:rPr>
        <w:t>j</w:t>
      </w:r>
      <w:r>
        <w:rPr>
          <w:rFonts w:ascii="Arial" w:cs="Arial" w:eastAsia="Arial" w:hAnsi="Arial"/>
          <w:sz w:val="18"/>
          <w:szCs w:val="18"/>
          <w:u w:val="single" w:color="auto"/>
          <w:color w:val="auto"/>
        </w:rPr>
        <w:t>eure</w:t>
      </w:r>
      <w:r>
        <w:rPr>
          <w:rFonts w:ascii="Arial" w:cs="Arial" w:eastAsia="Arial" w:hAnsi="Arial"/>
          <w:sz w:val="18"/>
          <w:szCs w:val="18"/>
          <w:color w:val="auto"/>
        </w:rPr>
        <w:t>. Upon termination of this Agreement by X4</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(Termination for Breach), </w:t>
      </w:r>
      <w:r>
        <w:rPr>
          <w:rFonts w:ascii="Arial" w:cs="Arial" w:eastAsia="Arial" w:hAnsi="Arial"/>
          <w:sz w:val="18"/>
          <w:szCs w:val="18"/>
          <w:u w:val="single" w:color="auto"/>
          <w:color w:val="auto"/>
        </w:rPr>
        <w:t>12.4</w:t>
      </w:r>
      <w:r>
        <w:rPr>
          <w:rFonts w:ascii="Arial" w:cs="Arial" w:eastAsia="Arial" w:hAnsi="Arial"/>
          <w:sz w:val="18"/>
          <w:szCs w:val="18"/>
          <w:color w:val="auto"/>
        </w:rPr>
        <w:t xml:space="preserve"> (Termination for Patent Challenge)</w:t>
      </w:r>
      <w:r>
        <w:rPr>
          <w:rFonts w:ascii="Arial" w:cs="Arial" w:eastAsia="Arial" w:hAnsi="Arial"/>
          <w:sz w:val="18"/>
          <w:szCs w:val="18"/>
          <w:u w:val="single" w:color="auto"/>
          <w:color w:val="auto"/>
        </w:rPr>
        <w:t>, 12.6</w:t>
      </w:r>
      <w:r>
        <w:rPr>
          <w:rFonts w:ascii="Arial" w:cs="Arial" w:eastAsia="Arial" w:hAnsi="Arial"/>
          <w:sz w:val="18"/>
          <w:szCs w:val="18"/>
          <w:color w:val="auto"/>
        </w:rPr>
        <w:t xml:space="preserve"> (Insolvency/Bankruptcy) or </w:t>
      </w:r>
      <w:r>
        <w:rPr>
          <w:rFonts w:ascii="Arial" w:cs="Arial" w:eastAsia="Arial" w:hAnsi="Arial"/>
          <w:sz w:val="18"/>
          <w:szCs w:val="18"/>
          <w:u w:val="single" w:color="auto"/>
          <w:color w:val="auto"/>
        </w:rPr>
        <w:t>19.2</w:t>
      </w:r>
      <w:r>
        <w:rPr>
          <w:rFonts w:ascii="Arial" w:cs="Arial" w:eastAsia="Arial" w:hAnsi="Arial"/>
          <w:sz w:val="18"/>
          <w:szCs w:val="18"/>
          <w:color w:val="auto"/>
        </w:rPr>
        <w:t xml:space="preserve"> (Force Majeure), if Licensee terminates this Agreement pursuant to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or if this Agreement terminates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or, where explicitly stated below, on expiration of this Agreement (save as provided in </w:t>
      </w:r>
      <w:r>
        <w:rPr>
          <w:rFonts w:ascii="Arial" w:cs="Arial" w:eastAsia="Arial" w:hAnsi="Arial"/>
          <w:sz w:val="18"/>
          <w:szCs w:val="18"/>
          <w:u w:val="single" w:color="auto"/>
          <w:color w:val="auto"/>
        </w:rPr>
        <w:t>Sections 13.3.1.1(e)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13.3.1.1(g)</w:t>
      </w:r>
      <w:r>
        <w:rPr>
          <w:rFonts w:ascii="Arial" w:cs="Arial" w:eastAsia="Arial" w:hAnsi="Arial"/>
          <w:sz w:val="18"/>
          <w:szCs w:val="18"/>
          <w:color w:val="auto"/>
        </w:rPr>
        <w:t>), then the following shall apply:</w:t>
      </w:r>
    </w:p>
    <w:p>
      <w:pPr>
        <w:spacing w:after="0" w:line="18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7"/>
          <w:szCs w:val="17"/>
          <w:u w:val="single" w:color="auto"/>
          <w:color w:val="auto"/>
        </w:rPr>
        <w:t>Approvals and Authorizations; Clinical Studies; Data; Trademarks</w:t>
      </w:r>
      <w:r>
        <w:rPr>
          <w:rFonts w:ascii="Arial" w:cs="Arial" w:eastAsia="Arial" w:hAnsi="Arial"/>
          <w:sz w:val="17"/>
          <w:szCs w:val="17"/>
          <w:color w:val="auto"/>
        </w:rPr>
        <w:t>.</w:t>
      </w:r>
    </w:p>
    <w:p>
      <w:pPr>
        <w:spacing w:after="0" w:line="217"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18"/>
          <w:szCs w:val="18"/>
          <w:color w:val="auto"/>
        </w:rPr>
        <w:t>13.3.1.1</w:t>
      </w:r>
      <w:r>
        <w:rPr>
          <w:sz w:val="20"/>
          <w:szCs w:val="20"/>
          <w:color w:val="auto"/>
        </w:rPr>
        <w:tab/>
      </w:r>
      <w:r>
        <w:rPr>
          <w:rFonts w:ascii="Arial" w:cs="Arial" w:eastAsia="Arial" w:hAnsi="Arial"/>
          <w:sz w:val="17"/>
          <w:szCs w:val="17"/>
          <w:color w:val="auto"/>
        </w:rPr>
        <w:t>Licensee shall promptly:</w:t>
      </w:r>
    </w:p>
    <w:p>
      <w:pPr>
        <w:spacing w:after="0" w:line="217" w:lineRule="exact"/>
        <w:rPr>
          <w:sz w:val="20"/>
          <w:szCs w:val="20"/>
          <w:color w:val="auto"/>
        </w:rPr>
      </w:pPr>
    </w:p>
    <w:p>
      <w:pPr>
        <w:ind w:left="2560" w:hanging="646"/>
        <w:spacing w:after="0" w:line="260" w:lineRule="auto"/>
        <w:tabs>
          <w:tab w:leader="none" w:pos="23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requested by X4 and where permitted by Applicable Law, assign to X4 (or to the company or person designated by X4), all Regulatory Documentation (including any regulatory filings, approvals and authorizations received for the Licensed Product) applicable to any Licensed Product in the Territory;</w:t>
      </w:r>
    </w:p>
    <w:p>
      <w:pPr>
        <w:spacing w:after="0" w:line="175" w:lineRule="exact"/>
        <w:rPr>
          <w:rFonts w:ascii="Arial" w:cs="Arial" w:eastAsia="Arial" w:hAnsi="Arial"/>
          <w:sz w:val="18"/>
          <w:szCs w:val="18"/>
          <w:color w:val="auto"/>
        </w:rPr>
      </w:pPr>
    </w:p>
    <w:p>
      <w:pPr>
        <w:ind w:left="2560" w:right="20" w:hanging="646"/>
        <w:spacing w:after="0" w:line="274" w:lineRule="auto"/>
        <w:tabs>
          <w:tab w:leader="none" w:pos="23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notify the Relevant Regulatory Authorities and take any other action reasonably necessary to effect the transfer set forth in </w:t>
      </w:r>
      <w:r>
        <w:rPr>
          <w:rFonts w:ascii="Arial" w:cs="Arial" w:eastAsia="Arial" w:hAnsi="Arial"/>
          <w:sz w:val="18"/>
          <w:szCs w:val="18"/>
          <w:u w:val="single" w:color="auto"/>
          <w:color w:val="auto"/>
        </w:rPr>
        <w:t>Section 13.3.1.1(a)</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2560" w:hanging="646"/>
        <w:spacing w:after="0" w:line="249" w:lineRule="auto"/>
        <w:tabs>
          <w:tab w:leader="none" w:pos="23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grant X4 an exclusive, royalty-free license and right of reference, with the right to grant sublicenses and further rights of reference (through multiple tiers), under all Regulatory Documentation (including any Marketing Authorizations) then owned or Controlled by Licensee then in its name that are not assigned to X4 pursuant to </w:t>
      </w:r>
      <w:r>
        <w:rPr>
          <w:rFonts w:ascii="Arial" w:cs="Arial" w:eastAsia="Arial" w:hAnsi="Arial"/>
          <w:sz w:val="18"/>
          <w:szCs w:val="18"/>
          <w:u w:val="single" w:color="auto"/>
          <w:color w:val="auto"/>
        </w:rPr>
        <w:t>Section 13.3.1.1(a)</w:t>
      </w:r>
      <w:r>
        <w:rPr>
          <w:rFonts w:ascii="Arial" w:cs="Arial" w:eastAsia="Arial" w:hAnsi="Arial"/>
          <w:sz w:val="18"/>
          <w:szCs w:val="18"/>
          <w:color w:val="auto"/>
        </w:rPr>
        <w:t xml:space="preserve"> above that are necessary or useful for X4 or any of its Affiliates to exploit, commercialize, manufacture or develop any Licensed Patent in the Field in the Territory and any improvement to any of the foregoing, as such Regulatory Documentation exists as of the effective date of such termination of this Agreement and Licensee shall continue to maintain, at X4’s cost, such Regulatory Documentation (including any Marketing Authorizations) unless and until X4 notifies Licensee that such maintenance is no longer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398780</wp:posOffset>
            </wp:positionV>
            <wp:extent cx="7134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395" w:right="339" w:bottom="1440" w:gutter="0" w:footer="0" w:header="0"/>
        </w:sectPr>
      </w:pPr>
    </w:p>
    <w:bookmarkStart w:id="167" w:name="page168"/>
    <w:bookmarkEnd w:id="167"/>
    <w:p>
      <w:pPr>
        <w:ind w:left="1440" w:hanging="646"/>
        <w:spacing w:after="0" w:line="249" w:lineRule="auto"/>
        <w:tabs>
          <w:tab w:leader="none" w:pos="1308"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6">
                      <a:extLst>
                        <a:ext uri="{28A0092B-C50C-407E-A947-70E740481C1C}"/>
                      </a:extLst>
                    </a:blip>
                    <a:srcRect/>
                    <a:stretch>
                      <a:fillRect/>
                    </a:stretch>
                  </pic:blipFill>
                  <pic:spPr bwMode="auto">
                    <a:xfrm>
                      <a:off x="0" y="0"/>
                      <a:ext cx="7134860" cy="8255"/>
                    </a:xfrm>
                    <a:prstGeom prst="rect">
                      <a:avLst/>
                    </a:prstGeom>
                    <a:noFill/>
                  </pic:spPr>
                </pic:pic>
              </a:graphicData>
            </a:graphic>
          </wp:anchor>
        </w:drawing>
        <w:t>to the extent requested by X4 and unless expressly prohibited by any Relevant Regulatory Authority, transfer control to X4 of all Clinical Studies of each Licensed Product being conducted as of the effective date of termination and continue to conduct such Clinical Studies, at X4’s cost and expense, for up to [***] months to enable such transfer to be completed without interruption of any such Clinical Study; provided, that, X4 shall not have any obligation to continue any Clinical Study unless required by Applicable Law; and (ii) with respect to each Clinical Study for which such transfer is expressly prohibited by the Relevant Regulatory Authority, Licensee shall continue to conduct such Clinical Study for up to an additional [***]months at X4’s cost and expense;</w:t>
      </w:r>
    </w:p>
    <w:p>
      <w:pPr>
        <w:spacing w:after="0" w:line="190" w:lineRule="exact"/>
        <w:rPr>
          <w:rFonts w:ascii="Arial" w:cs="Arial" w:eastAsia="Arial" w:hAnsi="Arial"/>
          <w:sz w:val="18"/>
          <w:szCs w:val="18"/>
          <w:color w:val="auto"/>
        </w:rPr>
      </w:pPr>
    </w:p>
    <w:p>
      <w:pPr>
        <w:ind w:left="1440" w:hanging="646"/>
        <w:spacing w:after="0" w:line="260" w:lineRule="auto"/>
        <w:tabs>
          <w:tab w:leader="none" w:pos="12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following service of the notice of termination, use Commercially Reasonable Efforts to cooperate with X4 to effect a smooth and orderly transition of the sale and ongoing marketing, promotion and commercialization activities in respect of Licensed Products in the Territory in a prompt and expeditious manner;</w:t>
      </w:r>
    </w:p>
    <w:p>
      <w:pPr>
        <w:spacing w:after="0" w:line="175" w:lineRule="exact"/>
        <w:rPr>
          <w:rFonts w:ascii="Arial" w:cs="Arial" w:eastAsia="Arial" w:hAnsi="Arial"/>
          <w:sz w:val="18"/>
          <w:szCs w:val="18"/>
          <w:color w:val="auto"/>
        </w:rPr>
      </w:pPr>
    </w:p>
    <w:p>
      <w:pPr>
        <w:ind w:left="1440" w:hanging="646"/>
        <w:spacing w:after="0" w:line="247" w:lineRule="auto"/>
        <w:tabs>
          <w:tab w:leader="none" w:pos="119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without limiting the foregoing, (i) solely in the event of termination by X4 pursuant to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(Termination for Breach), by X4 pursuant to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(Termination for Patent Challenge) or by Licensee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(Licensee Termination At Will</w:t>
      </w:r>
      <w:r>
        <w:rPr>
          <w:rFonts w:ascii="Arial" w:cs="Arial" w:eastAsia="Arial" w:hAnsi="Arial"/>
          <w:sz w:val="18"/>
          <w:szCs w:val="18"/>
          <w:u w:val="single" w:color="auto"/>
          <w:color w:val="auto"/>
        </w:rPr>
        <w:t>);</w:t>
      </w:r>
      <w:r>
        <w:rPr>
          <w:rFonts w:ascii="Arial" w:cs="Arial" w:eastAsia="Arial" w:hAnsi="Arial"/>
          <w:sz w:val="18"/>
          <w:szCs w:val="18"/>
          <w:color w:val="auto"/>
        </w:rPr>
        <w:t xml:space="preserve"> and (ii) to the extent necessary to avoid a disruption in making the Licensed Product available to patients and to the extent such activities have not been transitioned to X4 and Licensee maintains all necessary Marketing Authorizations to perform such functions, at X4’s request, Licensee shall continue to distribute (but shall have no obligation to promote or market) Licensed Product in each country of the Territory in which it is being actively distributed on the effective date of termination of this Agreement until the date on which X4 notifies Licensee in writing that they have secured an alternative distributor or licensee for such Licensed Product in such country, but in no event for more than [***] months after the effective date of any termination of this Agreement (the “</w:t>
      </w:r>
      <w:r>
        <w:rPr>
          <w:rFonts w:ascii="Arial" w:cs="Arial" w:eastAsia="Arial" w:hAnsi="Arial"/>
          <w:sz w:val="18"/>
          <w:szCs w:val="18"/>
          <w:b w:val="1"/>
          <w:bCs w:val="1"/>
          <w:color w:val="auto"/>
        </w:rPr>
        <w:t>Wind-down Period</w:t>
      </w:r>
      <w:r>
        <w:rPr>
          <w:rFonts w:ascii="Arial" w:cs="Arial" w:eastAsia="Arial" w:hAnsi="Arial"/>
          <w:sz w:val="18"/>
          <w:szCs w:val="18"/>
          <w:color w:val="auto"/>
        </w:rPr>
        <w:t xml:space="preserve">”). Notwithstanding any other provision of this Agreement, during the Wind-down Period, Licensee’s rights to Licensed Products in the Territory shall be non-exclusive and X4 shall have the right to engage one or more other distributor(s) and/or licensee(s) of any Licensed Product in all or part of the Territory. Any Licensed Product sold or disposed by Licensee in the Territory during the Wind-down Period shall be subject to applicable payment obligations under </w:t>
      </w:r>
      <w:r>
        <w:rPr>
          <w:rFonts w:ascii="Arial" w:cs="Arial" w:eastAsia="Arial" w:hAnsi="Arial"/>
          <w:sz w:val="18"/>
          <w:szCs w:val="18"/>
          <w:u w:val="single" w:color="auto"/>
          <w:color w:val="auto"/>
        </w:rPr>
        <w:t>Section 6.1.5.</w:t>
      </w:r>
    </w:p>
    <w:p>
      <w:pPr>
        <w:spacing w:after="0" w:line="196" w:lineRule="exact"/>
        <w:rPr>
          <w:rFonts w:ascii="Arial" w:cs="Arial" w:eastAsia="Arial" w:hAnsi="Arial"/>
          <w:sz w:val="18"/>
          <w:szCs w:val="18"/>
          <w:color w:val="auto"/>
        </w:rPr>
      </w:pPr>
    </w:p>
    <w:p>
      <w:pPr>
        <w:ind w:left="1440" w:hanging="646"/>
        <w:spacing w:after="0" w:line="253" w:lineRule="auto"/>
        <w:tabs>
          <w:tab w:leader="none" w:pos="13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following the notice of termination, Licensee shall disclose to X4 the identity of all investigator initiated trial, distribution, sub-license, sales, promotion and other agreements and arrangements with Third Parties concerning the Licensed Products and, if so requested by X4 (and at X4’s sole cost and expense), use Commercially Reasonable Efforts to assign agreements to X4 and/or introduce X4 to such Third Parties with a view to facilitating direct discussion between X4 and such Third Parties with respect thereto; and</w:t>
      </w:r>
    </w:p>
    <w:p>
      <w:pPr>
        <w:spacing w:after="0" w:line="181" w:lineRule="exact"/>
        <w:rPr>
          <w:rFonts w:ascii="Arial" w:cs="Arial" w:eastAsia="Arial" w:hAnsi="Arial"/>
          <w:sz w:val="18"/>
          <w:szCs w:val="18"/>
          <w:color w:val="auto"/>
        </w:rPr>
      </w:pPr>
    </w:p>
    <w:p>
      <w:pPr>
        <w:ind w:left="1440" w:hanging="646"/>
        <w:spacing w:after="0" w:line="260" w:lineRule="auto"/>
        <w:tabs>
          <w:tab w:leader="none" w:pos="1234"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X4 with copies of all reports and data generated or obtained by Licensee or any of its Affiliates that relate to any Licensed Product that were required to be provided by Licensee to X4 hereunder and have not previously been provided to 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391160</wp:posOffset>
            </wp:positionV>
            <wp:extent cx="71348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120"/>
          </w:cols>
          <w:pgMar w:left="1440" w:top="1395" w:right="339" w:bottom="1440" w:gutter="0" w:footer="0" w:header="0"/>
        </w:sectPr>
      </w:pPr>
    </w:p>
    <w:bookmarkStart w:id="168" w:name="page169"/>
    <w:bookmarkEnd w:id="168"/>
    <w:p>
      <w:pPr>
        <w:jc w:val="both"/>
        <w:ind w:left="800" w:hanging="635"/>
        <w:spacing w:after="0" w:line="255" w:lineRule="auto"/>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8">
                      <a:extLst>
                        <a:ext uri="{28A0092B-C50C-407E-A947-70E740481C1C}"/>
                      </a:extLst>
                    </a:blip>
                    <a:srcRect/>
                    <a:stretch>
                      <a:fillRect/>
                    </a:stretch>
                  </pic:blipFill>
                  <pic:spPr bwMode="auto">
                    <a:xfrm>
                      <a:off x="0" y="0"/>
                      <a:ext cx="7134860" cy="8255"/>
                    </a:xfrm>
                    <a:prstGeom prst="rect">
                      <a:avLst/>
                    </a:prstGeom>
                    <a:noFill/>
                  </pic:spPr>
                </pic:pic>
              </a:graphicData>
            </a:graphic>
          </wp:anchor>
        </w:drawing>
        <w:t>13.3.1.2</w:t>
        <w:tab/>
        <w:t xml:space="preserve">Furthermore, following termination or expiration of this Agreement, subject to </w:t>
      </w:r>
      <w:r>
        <w:rPr>
          <w:rFonts w:ascii="Arial" w:cs="Arial" w:eastAsia="Arial" w:hAnsi="Arial"/>
          <w:sz w:val="18"/>
          <w:szCs w:val="18"/>
          <w:u w:val="single" w:color="auto"/>
          <w:color w:val="auto"/>
        </w:rPr>
        <w:t>Section 13.3.8</w:t>
      </w:r>
      <w:r>
        <w:rPr>
          <w:rFonts w:ascii="Arial" w:cs="Arial" w:eastAsia="Arial" w:hAnsi="Arial"/>
          <w:sz w:val="18"/>
          <w:szCs w:val="18"/>
          <w:color w:val="auto"/>
        </w:rPr>
        <w:t>, Licensee shall remove and cease to use the X4 Trademark and Genzyme Trademark and any signs containing X4's or Genzyme’s name and assign to X4 any domain names in respect of which Licensee is the registrant and which exclusively relate to the Licensed Product.</w:t>
      </w:r>
    </w:p>
    <w:p>
      <w:pPr>
        <w:spacing w:after="0" w:line="180" w:lineRule="exact"/>
        <w:rPr>
          <w:sz w:val="20"/>
          <w:szCs w:val="20"/>
          <w:color w:val="auto"/>
        </w:rPr>
      </w:pPr>
    </w:p>
    <w:p>
      <w:pPr>
        <w:jc w:val="both"/>
        <w:ind w:left="160" w:hanging="635"/>
        <w:spacing w:after="0" w:line="274" w:lineRule="auto"/>
        <w:tabs>
          <w:tab w:leader="none" w:pos="140" w:val="left"/>
        </w:tabs>
        <w:rPr>
          <w:sz w:val="20"/>
          <w:szCs w:val="20"/>
          <w:color w:val="auto"/>
        </w:rPr>
      </w:pPr>
      <w:r>
        <w:rPr>
          <w:rFonts w:ascii="Arial" w:cs="Arial" w:eastAsia="Arial" w:hAnsi="Arial"/>
          <w:sz w:val="18"/>
          <w:szCs w:val="18"/>
          <w:color w:val="auto"/>
        </w:rPr>
        <w:t>13.3.2</w:t>
        <w:tab/>
        <w:t>In case any authorizations or other approvals received for the Licensed Product cannot be returned to X4 or its designee, Licensee shall promptly apply for their cancellation, upon X4's written request.</w:t>
      </w:r>
    </w:p>
    <w:p>
      <w:pPr>
        <w:spacing w:after="0" w:line="163" w:lineRule="exact"/>
        <w:rPr>
          <w:sz w:val="20"/>
          <w:szCs w:val="20"/>
          <w:color w:val="auto"/>
        </w:rPr>
      </w:pPr>
    </w:p>
    <w:p>
      <w:pPr>
        <w:jc w:val="both"/>
        <w:ind w:left="160" w:hanging="635"/>
        <w:spacing w:after="0" w:line="260" w:lineRule="auto"/>
        <w:tabs>
          <w:tab w:leader="none" w:pos="140" w:val="left"/>
        </w:tabs>
        <w:rPr>
          <w:sz w:val="20"/>
          <w:szCs w:val="20"/>
          <w:color w:val="auto"/>
        </w:rPr>
      </w:pPr>
      <w:r>
        <w:rPr>
          <w:rFonts w:ascii="Arial" w:cs="Arial" w:eastAsia="Arial" w:hAnsi="Arial"/>
          <w:sz w:val="18"/>
          <w:szCs w:val="18"/>
          <w:color w:val="auto"/>
        </w:rPr>
        <w:t>13.3.3</w:t>
        <w:tab/>
        <w:t>Licensee shall provide X4 with copies of documentation and any other informative material relating to scientific, technical and/or marketing data regarding the Licensed Product which has been generated by or on behalf of Licensee during the Agreement;</w:t>
      </w:r>
    </w:p>
    <w:p>
      <w:pPr>
        <w:spacing w:after="0" w:line="175" w:lineRule="exact"/>
        <w:rPr>
          <w:sz w:val="20"/>
          <w:szCs w:val="20"/>
          <w:color w:val="auto"/>
        </w:rPr>
      </w:pPr>
    </w:p>
    <w:p>
      <w:pPr>
        <w:jc w:val="both"/>
        <w:ind w:left="160" w:hanging="635"/>
        <w:spacing w:after="0" w:line="260" w:lineRule="auto"/>
        <w:tabs>
          <w:tab w:leader="none" w:pos="140" w:val="left"/>
        </w:tabs>
        <w:rPr>
          <w:sz w:val="20"/>
          <w:szCs w:val="20"/>
          <w:color w:val="auto"/>
        </w:rPr>
      </w:pPr>
      <w:r>
        <w:rPr>
          <w:rFonts w:ascii="Arial" w:cs="Arial" w:eastAsia="Arial" w:hAnsi="Arial"/>
          <w:sz w:val="18"/>
          <w:szCs w:val="18"/>
          <w:color w:val="auto"/>
        </w:rPr>
        <w:t>13.3.4</w:t>
        <w:tab/>
        <w:t xml:space="preserve">The reasonable fees and disbursements payable to Third Parties that are actually incurred in connection with the assignments or cancellations, as applicable, contemplated by this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(collectively, "</w:t>
      </w:r>
      <w:r>
        <w:rPr>
          <w:rFonts w:ascii="Arial" w:cs="Arial" w:eastAsia="Arial" w:hAnsi="Arial"/>
          <w:sz w:val="18"/>
          <w:szCs w:val="18"/>
          <w:b w:val="1"/>
          <w:bCs w:val="1"/>
          <w:color w:val="auto"/>
        </w:rPr>
        <w:t>Transfer Costs</w:t>
      </w:r>
      <w:r>
        <w:rPr>
          <w:rFonts w:ascii="Arial" w:cs="Arial" w:eastAsia="Arial" w:hAnsi="Arial"/>
          <w:sz w:val="18"/>
          <w:szCs w:val="18"/>
          <w:color w:val="auto"/>
        </w:rPr>
        <w:t>") shall be paid at first instance by Licensee and shall be reimbursable by X4 as follows, as applicable:</w:t>
      </w:r>
    </w:p>
    <w:p>
      <w:pPr>
        <w:spacing w:after="0" w:line="175" w:lineRule="exact"/>
        <w:rPr>
          <w:sz w:val="20"/>
          <w:szCs w:val="20"/>
          <w:color w:val="auto"/>
        </w:rPr>
      </w:pPr>
    </w:p>
    <w:p>
      <w:pPr>
        <w:ind w:left="1440" w:hanging="646"/>
        <w:spacing w:after="0" w:line="274" w:lineRule="auto"/>
        <w:tabs>
          <w:tab w:leader="none" w:pos="12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this Agreement expires at the end of the Initial Term or any Subsequent Term in accordance with </w:t>
      </w:r>
      <w:r>
        <w:rPr>
          <w:rFonts w:ascii="Arial" w:cs="Arial" w:eastAsia="Arial" w:hAnsi="Arial"/>
          <w:sz w:val="18"/>
          <w:szCs w:val="18"/>
          <w:u w:val="single" w:color="auto"/>
          <w:color w:val="auto"/>
        </w:rPr>
        <w:t>Section 12.1</w:t>
      </w:r>
      <w:r>
        <w:rPr>
          <w:rFonts w:ascii="Arial" w:cs="Arial" w:eastAsia="Arial" w:hAnsi="Arial"/>
          <w:sz w:val="18"/>
          <w:szCs w:val="18"/>
          <w:color w:val="auto"/>
        </w:rPr>
        <w:t>, then X4 shall reimburse Licensee an amount equal [***]of such Transfer Costs;</w:t>
      </w:r>
    </w:p>
    <w:p>
      <w:pPr>
        <w:spacing w:after="0" w:line="163" w:lineRule="exact"/>
        <w:rPr>
          <w:rFonts w:ascii="Arial" w:cs="Arial" w:eastAsia="Arial" w:hAnsi="Arial"/>
          <w:sz w:val="18"/>
          <w:szCs w:val="18"/>
          <w:color w:val="auto"/>
        </w:rPr>
      </w:pPr>
    </w:p>
    <w:p>
      <w:pPr>
        <w:ind w:left="1440" w:hanging="646"/>
        <w:spacing w:after="0" w:line="260" w:lineRule="auto"/>
        <w:tabs>
          <w:tab w:leader="none" w:pos="13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Licensee in accordance with </w:t>
      </w:r>
      <w:r>
        <w:rPr>
          <w:rFonts w:ascii="Arial" w:cs="Arial" w:eastAsia="Arial" w:hAnsi="Arial"/>
          <w:sz w:val="18"/>
          <w:szCs w:val="18"/>
          <w:u w:val="single" w:color="auto"/>
          <w:color w:val="auto"/>
        </w:rPr>
        <w:t>Sections 12.2</w:t>
      </w:r>
      <w:r>
        <w:rPr>
          <w:rFonts w:ascii="Arial" w:cs="Arial" w:eastAsia="Arial" w:hAnsi="Arial"/>
          <w:sz w:val="18"/>
          <w:szCs w:val="18"/>
          <w:color w:val="auto"/>
        </w:rPr>
        <w:t xml:space="preserve"> or by X4 in accordance with </w:t>
      </w:r>
      <w:r>
        <w:rPr>
          <w:rFonts w:ascii="Arial" w:cs="Arial" w:eastAsia="Arial" w:hAnsi="Arial"/>
          <w:sz w:val="18"/>
          <w:szCs w:val="18"/>
          <w:u w:val="single" w:color="auto"/>
          <w:color w:val="auto"/>
        </w:rPr>
        <w:t>Sections 12.3</w:t>
      </w:r>
      <w:r>
        <w:rPr>
          <w:rFonts w:ascii="Arial" w:cs="Arial" w:eastAsia="Arial" w:hAnsi="Arial"/>
          <w:sz w:val="18"/>
          <w:szCs w:val="18"/>
          <w:color w:val="auto"/>
        </w:rPr>
        <w:t xml:space="preserve">, </w:t>
      </w:r>
      <w:r>
        <w:rPr>
          <w:rFonts w:ascii="Arial" w:cs="Arial" w:eastAsia="Arial" w:hAnsi="Arial"/>
          <w:sz w:val="18"/>
          <w:szCs w:val="18"/>
          <w:u w:val="single" w:color="auto"/>
          <w:color w:val="auto"/>
        </w:rPr>
        <w:t>12.4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12.6</w:t>
      </w:r>
      <w:r>
        <w:rPr>
          <w:rFonts w:ascii="Arial" w:cs="Arial" w:eastAsia="Arial" w:hAnsi="Arial"/>
          <w:sz w:val="18"/>
          <w:szCs w:val="18"/>
          <w:color w:val="auto"/>
        </w:rPr>
        <w:t>, Licensee shall be solely and entirely responsible for and pay all Transfer Costs and X4 shall not be required to reimburse any such Transfer Costs; or</w:t>
      </w:r>
    </w:p>
    <w:p>
      <w:pPr>
        <w:spacing w:after="0" w:line="175" w:lineRule="exact"/>
        <w:rPr>
          <w:rFonts w:ascii="Arial" w:cs="Arial" w:eastAsia="Arial" w:hAnsi="Arial"/>
          <w:sz w:val="18"/>
          <w:szCs w:val="18"/>
          <w:color w:val="auto"/>
        </w:rPr>
      </w:pPr>
    </w:p>
    <w:p>
      <w:pPr>
        <w:ind w:left="1440" w:hanging="646"/>
        <w:spacing w:after="0" w:line="274" w:lineRule="auto"/>
        <w:tabs>
          <w:tab w:leader="none" w:pos="12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Licensee in accordance with </w:t>
      </w:r>
      <w:r>
        <w:rPr>
          <w:rFonts w:ascii="Arial" w:cs="Arial" w:eastAsia="Arial" w:hAnsi="Arial"/>
          <w:sz w:val="18"/>
          <w:szCs w:val="18"/>
          <w:u w:val="single" w:color="auto"/>
          <w:color w:val="auto"/>
        </w:rPr>
        <w:t>Sections 12.3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12.6</w:t>
      </w:r>
      <w:r>
        <w:rPr>
          <w:rFonts w:ascii="Arial" w:cs="Arial" w:eastAsia="Arial" w:hAnsi="Arial"/>
          <w:sz w:val="18"/>
          <w:szCs w:val="18"/>
          <w:color w:val="auto"/>
        </w:rPr>
        <w:t>, X4 shall reimburse Licensee for all Transfer Costs actually incurred by Licensee.</w:t>
      </w:r>
    </w:p>
    <w:p>
      <w:pPr>
        <w:spacing w:after="0" w:line="163"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 xml:space="preserve">To the extent that such assigned regulatory filings and/or Marketing Authorizations are related to the Licensed Product, all such data, files, materials, information, filings and approvals shall thereafter be deemed to be X4's Confidential Information and subject to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of this Agreement. Licensee further agrees to execute and deliver such instruments and take such other actions as X4 shall reasonably request in order to carry out this provision.</w:t>
      </w:r>
    </w:p>
    <w:p>
      <w:pPr>
        <w:spacing w:after="0" w:line="180" w:lineRule="exact"/>
        <w:rPr>
          <w:sz w:val="20"/>
          <w:szCs w:val="20"/>
          <w:color w:val="auto"/>
        </w:rPr>
      </w:pPr>
    </w:p>
    <w:p>
      <w:pPr>
        <w:jc w:val="both"/>
        <w:ind w:left="160" w:hanging="635"/>
        <w:spacing w:after="0" w:line="249" w:lineRule="auto"/>
        <w:tabs>
          <w:tab w:leader="none" w:pos="140" w:val="left"/>
        </w:tabs>
        <w:rPr>
          <w:sz w:val="20"/>
          <w:szCs w:val="20"/>
          <w:color w:val="auto"/>
        </w:rPr>
      </w:pPr>
      <w:r>
        <w:rPr>
          <w:rFonts w:ascii="Arial" w:cs="Arial" w:eastAsia="Arial" w:hAnsi="Arial"/>
          <w:sz w:val="18"/>
          <w:szCs w:val="18"/>
          <w:color w:val="auto"/>
        </w:rPr>
        <w:t>13.3.5</w:t>
      </w:r>
      <w:r>
        <w:rPr>
          <w:sz w:val="20"/>
          <w:szCs w:val="20"/>
          <w:color w:val="auto"/>
        </w:rPr>
        <w:tab/>
      </w:r>
      <w:r>
        <w:rPr>
          <w:rFonts w:ascii="Arial" w:cs="Arial" w:eastAsia="Arial" w:hAnsi="Arial"/>
          <w:sz w:val="18"/>
          <w:szCs w:val="18"/>
          <w:u w:val="single" w:color="auto"/>
          <w:color w:val="auto"/>
        </w:rPr>
        <w:t>Know-How and Patents</w:t>
      </w:r>
      <w:r>
        <w:rPr>
          <w:rFonts w:ascii="Arial" w:cs="Arial" w:eastAsia="Arial" w:hAnsi="Arial"/>
          <w:sz w:val="18"/>
          <w:szCs w:val="18"/>
          <w:color w:val="auto"/>
        </w:rPr>
        <w:t>. To the extent requested in writing by X4, Licensee hereby grants X4 an exclusive, worldwide license,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with the right to grant sublicenses (through multiple tiers), under the Norgine Know-How and the Norgine Patents, to exploit, commercialize, manufacture and develop Licensed Products in the Field and, following any such termination,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that apply to Licensed Patents shall survive with respect to such Norgine Patents with X4 having, with respect to such Norgine Patents, the rights and obligations that Licensee has with respect to the Licensed Patents; provided, that, the survival of the licenses granted to X4 pursuant to this </w:t>
      </w:r>
      <w:r>
        <w:rPr>
          <w:rFonts w:ascii="Arial" w:cs="Arial" w:eastAsia="Arial" w:hAnsi="Arial"/>
          <w:sz w:val="18"/>
          <w:szCs w:val="18"/>
          <w:u w:val="single" w:color="auto"/>
          <w:color w:val="auto"/>
        </w:rPr>
        <w:t>Section 13.3.5</w:t>
      </w:r>
      <w:r>
        <w:rPr>
          <w:rFonts w:ascii="Arial" w:cs="Arial" w:eastAsia="Arial" w:hAnsi="Arial"/>
          <w:sz w:val="18"/>
          <w:szCs w:val="18"/>
          <w:color w:val="auto"/>
        </w:rPr>
        <w:t xml:space="preserve"> shall be subject to the payment by X4 to Licensee of (i) the Applicable Post-Termination Percentage of any milestone payments that would have otherwise been due and payable by Licensee to X4 with respect to any Licensee Product pursuant to this Agreement if such Licensee Product had continued to be a Licensed Product for purposes of this Agreement; (ii) a royalty on Annual Net Sales of Licensee Products by X4 or any of its Affiliates or (sub)licensees at a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396875</wp:posOffset>
            </wp:positionV>
            <wp:extent cx="71348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120"/>
          </w:cols>
          <w:pgMar w:left="1440" w:top="1395" w:right="339" w:bottom="1440" w:gutter="0" w:footer="0" w:header="0"/>
        </w:sectPr>
      </w:pPr>
    </w:p>
    <w:bookmarkStart w:id="169" w:name="page170"/>
    <w:bookmarkEnd w:id="169"/>
    <w:p>
      <w:pPr>
        <w:jc w:val="both"/>
        <w:ind w:lef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0">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equal to the Applicable Post-Termination Percentage of the rates set forth in this Agreement with respect to such Licensee Product if such Licensee Product had continued to be a Licensed Product for purposes of this Agreement; and (iii) the remaining terms of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which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each Licensee Product referenced in subsection (a). For purposes of this </w:t>
      </w:r>
      <w:r>
        <w:rPr>
          <w:rFonts w:ascii="Arial" w:cs="Arial" w:eastAsia="Arial" w:hAnsi="Arial"/>
          <w:sz w:val="18"/>
          <w:szCs w:val="18"/>
          <w:u w:val="single" w:color="auto"/>
          <w:color w:val="auto"/>
        </w:rPr>
        <w:t>Section 13.3.5</w:t>
      </w:r>
      <w:r>
        <w:rPr>
          <w:rFonts w:ascii="Arial" w:cs="Arial" w:eastAsia="Arial" w:hAnsi="Arial"/>
          <w:sz w:val="18"/>
          <w:szCs w:val="18"/>
          <w:color w:val="auto"/>
        </w:rPr>
        <w:t xml:space="preserve"> the terms:</w:t>
      </w:r>
    </w:p>
    <w:p>
      <w:pPr>
        <w:spacing w:after="0" w:line="178" w:lineRule="exact"/>
        <w:rPr>
          <w:sz w:val="20"/>
          <w:szCs w:val="20"/>
          <w:color w:val="auto"/>
        </w:rPr>
      </w:pPr>
    </w:p>
    <w:p>
      <w:pPr>
        <w:jc w:val="both"/>
        <w:ind w:left="800" w:hanging="635"/>
        <w:spacing w:after="0" w:line="276" w:lineRule="auto"/>
        <w:tabs>
          <w:tab w:leader="none" w:pos="780" w:val="left"/>
        </w:tabs>
        <w:rPr>
          <w:sz w:val="20"/>
          <w:szCs w:val="20"/>
          <w:color w:val="auto"/>
        </w:rPr>
      </w:pPr>
      <w:r>
        <w:rPr>
          <w:rFonts w:ascii="Arial" w:cs="Arial" w:eastAsia="Arial" w:hAnsi="Arial"/>
          <w:sz w:val="18"/>
          <w:szCs w:val="18"/>
          <w:color w:val="auto"/>
        </w:rPr>
        <w:t>13.3.5.1</w:t>
        <w:tab/>
        <w:t>“</w:t>
      </w:r>
      <w:r>
        <w:rPr>
          <w:rFonts w:ascii="Arial" w:cs="Arial" w:eastAsia="Arial" w:hAnsi="Arial"/>
          <w:sz w:val="18"/>
          <w:szCs w:val="18"/>
          <w:b w:val="1"/>
          <w:bCs w:val="1"/>
          <w:color w:val="auto"/>
        </w:rPr>
        <w:t>Licensee Product</w:t>
      </w:r>
      <w:r>
        <w:rPr>
          <w:rFonts w:ascii="Arial" w:cs="Arial" w:eastAsia="Arial" w:hAnsi="Arial"/>
          <w:sz w:val="18"/>
          <w:szCs w:val="18"/>
          <w:color w:val="auto"/>
        </w:rPr>
        <w:t>” shall mean any Licensed Product that is Covered by a Valid Claim of any Norgine Patents and for uses or incorporates any Norgine Know-How;</w:t>
      </w:r>
    </w:p>
    <w:p>
      <w:pPr>
        <w:spacing w:after="0" w:line="160" w:lineRule="exact"/>
        <w:rPr>
          <w:sz w:val="20"/>
          <w:szCs w:val="20"/>
          <w:color w:val="auto"/>
        </w:rPr>
      </w:pPr>
    </w:p>
    <w:p>
      <w:pPr>
        <w:jc w:val="both"/>
        <w:ind w:left="800" w:hanging="635"/>
        <w:spacing w:after="0" w:line="248" w:lineRule="auto"/>
        <w:tabs>
          <w:tab w:leader="none" w:pos="780" w:val="left"/>
        </w:tabs>
        <w:rPr>
          <w:sz w:val="20"/>
          <w:szCs w:val="20"/>
          <w:color w:val="auto"/>
        </w:rPr>
      </w:pPr>
      <w:r>
        <w:rPr>
          <w:rFonts w:ascii="Arial" w:cs="Arial" w:eastAsia="Arial" w:hAnsi="Arial"/>
          <w:sz w:val="18"/>
          <w:szCs w:val="18"/>
          <w:color w:val="auto"/>
        </w:rPr>
        <w:t>13.3.5.2</w:t>
        <w:tab/>
        <w:t>“</w:t>
      </w:r>
      <w:r>
        <w:rPr>
          <w:rFonts w:ascii="Arial" w:cs="Arial" w:eastAsia="Arial" w:hAnsi="Arial"/>
          <w:sz w:val="18"/>
          <w:szCs w:val="18"/>
          <w:b w:val="1"/>
          <w:bCs w:val="1"/>
          <w:color w:val="auto"/>
        </w:rPr>
        <w:t>Valid Claim</w:t>
      </w:r>
      <w:r>
        <w:rPr>
          <w:rFonts w:ascii="Arial" w:cs="Arial" w:eastAsia="Arial" w:hAnsi="Arial"/>
          <w:sz w:val="18"/>
          <w:szCs w:val="18"/>
          <w:color w:val="auto"/>
        </w:rPr>
        <w:t>” means a pending or issued claim of a Patent which: (a) has not been held unpatentable, invalid or unenforceable by a court or other government agency of competent jurisdiction in a decision from which no appeal can or has been taken; and (b) which has not been admitted to be invalid or unenforceable through reissue, re-examination, disclaimer or otherwise. Notwithstanding the foregoing, in case of pending patent applications, it is understood and agreed that if the corresponding claim in the patent applications: (i) has been limited or cancelled because of patentability requirements such that the corresponding claim does not cover the applicable Licensee Product; (ii) has lapsed; (iii) has been finally rejected (and the rejection has been affirmed on appeal or the time for appeal or petition has lapsed); (iv) has been finally revoked (and the revocation has been affirmed on appeal or the time for appeal or petition has lapsed); or (v) has been pending for longer than eight (8) years from the date of filing of the initial priority application, then such corresponding claim in such corresponding patent application pending in any country will not be deemed to be a Valid Claim; and</w:t>
      </w:r>
    </w:p>
    <w:p>
      <w:pPr>
        <w:spacing w:after="0" w:line="191" w:lineRule="exact"/>
        <w:rPr>
          <w:sz w:val="20"/>
          <w:szCs w:val="20"/>
          <w:color w:val="auto"/>
        </w:rPr>
      </w:pPr>
    </w:p>
    <w:p>
      <w:pPr>
        <w:jc w:val="both"/>
        <w:ind w:left="800" w:hanging="635"/>
        <w:spacing w:after="0" w:line="266" w:lineRule="auto"/>
        <w:tabs>
          <w:tab w:leader="none" w:pos="780" w:val="left"/>
        </w:tabs>
        <w:rPr>
          <w:sz w:val="20"/>
          <w:szCs w:val="20"/>
          <w:color w:val="auto"/>
        </w:rPr>
      </w:pPr>
      <w:r>
        <w:rPr>
          <w:rFonts w:ascii="Arial" w:cs="Arial" w:eastAsia="Arial" w:hAnsi="Arial"/>
          <w:sz w:val="18"/>
          <w:szCs w:val="18"/>
          <w:color w:val="auto"/>
        </w:rPr>
        <w:t>13.3.5.3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Applicable Post-Termination Percentage</w:t>
      </w:r>
      <w:r>
        <w:rPr>
          <w:rFonts w:ascii="Arial" w:cs="Arial" w:eastAsia="Arial" w:hAnsi="Arial"/>
          <w:sz w:val="17"/>
          <w:szCs w:val="17"/>
          <w:color w:val="auto"/>
        </w:rPr>
        <w:t xml:space="preserve">” means, with respect to each Licensee Product described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13.3.5</w:t>
      </w:r>
      <w:r>
        <w:rPr>
          <w:rFonts w:ascii="Arial" w:cs="Arial" w:eastAsia="Arial" w:hAnsi="Arial"/>
          <w:sz w:val="17"/>
          <w:szCs w:val="17"/>
          <w:color w:val="auto"/>
        </w:rPr>
        <w:t>, (1) if the effective date of termination is on or after the receipt of Marketing Authorization with respect to any such Licensee Product in any country in the Territory,[***]); (2) if the effective date of termination is on or after the Initiation of Phase III Clinical Studies with respect to any such Licensee Product in any country in the Territory but prior to receipt of Marketing Authorization with respect to such Licensee Product in any country in the Territory, [***]; (3) if the effective date of termination is on or after the initiation of Phase I Clinical Studies with respect to any such Licensee Product in any country in the Territory but prior to the initiation of Phase III Clinical Studies with respect to any such Licensee Product in any country in the Territory,[***]); and (4) if the effective date of termination is prior to the Initiation of Phase I Clinical Studies with respect to any such Licensee Product in any country in the Territory, [***].</w:t>
      </w:r>
    </w:p>
    <w:p>
      <w:pPr>
        <w:spacing w:after="0" w:line="172" w:lineRule="exact"/>
        <w:rPr>
          <w:sz w:val="20"/>
          <w:szCs w:val="20"/>
          <w:color w:val="auto"/>
        </w:rPr>
      </w:pPr>
    </w:p>
    <w:p>
      <w:pPr>
        <w:jc w:val="both"/>
        <w:ind w:left="160" w:hanging="635"/>
        <w:spacing w:after="0" w:line="249" w:lineRule="auto"/>
        <w:tabs>
          <w:tab w:leader="none" w:pos="140" w:val="left"/>
        </w:tabs>
        <w:rPr>
          <w:sz w:val="20"/>
          <w:szCs w:val="20"/>
          <w:color w:val="auto"/>
        </w:rPr>
      </w:pPr>
      <w:r>
        <w:rPr>
          <w:rFonts w:ascii="Arial" w:cs="Arial" w:eastAsia="Arial" w:hAnsi="Arial"/>
          <w:sz w:val="18"/>
          <w:szCs w:val="18"/>
          <w:color w:val="auto"/>
        </w:rPr>
        <w:t>13.3.6</w:t>
      </w:r>
      <w:r>
        <w:rPr>
          <w:sz w:val="20"/>
          <w:szCs w:val="20"/>
          <w:color w:val="auto"/>
        </w:rPr>
        <w:tab/>
      </w:r>
      <w:r>
        <w:rPr>
          <w:rFonts w:ascii="Arial" w:cs="Arial" w:eastAsia="Arial" w:hAnsi="Arial"/>
          <w:sz w:val="18"/>
          <w:szCs w:val="18"/>
          <w:u w:val="single" w:color="auto"/>
          <w:color w:val="auto"/>
        </w:rPr>
        <w:t>Product Agreements</w:t>
      </w:r>
      <w:r>
        <w:rPr>
          <w:rFonts w:ascii="Arial" w:cs="Arial" w:eastAsia="Arial" w:hAnsi="Arial"/>
          <w:sz w:val="18"/>
          <w:szCs w:val="18"/>
          <w:color w:val="auto"/>
        </w:rPr>
        <w:t>. Furthermore, following termination of this Agreement, Licensee shall assign (or cause its Affiliates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assign) to X4 all Product Agreements, unless, with respect to any such Product Agreement, such Product Agreement expressly prohibits such assignment or relates to products in addition to the Licensed Product, in which case Licensee shall cooperate with X4 in all reasonable respects to secure the consent of the applicable Third Party to such assignment and if any such consent cannot be obtained with respect to a Product Agreement, X4 shall use Commercially Reasonable Efforts at X4’s cost and expense to try to obtain for X4 substantially all of the practical benefit and burden under such Product Agreement, including by (i) pursuing appropriate and reasonable alternative arrangements (such as splitting Product Agreements non exclusively related to Licensed Products) on terms mutually agreeable to X4 and Licensee; and (ii) subject to the consent and control of X4, pursuing the enforcement, at X4’s cost and expense and for the account of X4,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398780</wp:posOffset>
            </wp:positionV>
            <wp:extent cx="7134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20"/>
          </w:cols>
          <w:pgMar w:left="1440" w:top="1395" w:right="339" w:bottom="1440" w:gutter="0" w:footer="0" w:header="0"/>
        </w:sectPr>
      </w:pPr>
    </w:p>
    <w:bookmarkStart w:id="170" w:name="page171"/>
    <w:bookmarkEnd w:id="170"/>
    <w:p>
      <w:pPr>
        <w:jc w:val="both"/>
        <w:ind w:left="128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2">
                      <a:extLst>
                        <a:ext uri="{28A0092B-C50C-407E-A947-70E740481C1C}"/>
                      </a:extLst>
                    </a:blip>
                    <a:srcRect/>
                    <a:stretch>
                      <a:fillRect/>
                    </a:stretch>
                  </pic:blipFill>
                  <pic:spPr bwMode="auto">
                    <a:xfrm>
                      <a:off x="0" y="0"/>
                      <a:ext cx="7134860" cy="8255"/>
                    </a:xfrm>
                    <a:prstGeom prst="rect">
                      <a:avLst/>
                    </a:prstGeom>
                    <a:noFill/>
                  </pic:spPr>
                </pic:pic>
              </a:graphicData>
            </a:graphic>
          </wp:anchor>
        </w:drawing>
        <w:t>and all rights of Licensee against the other party thereto arising out of the breach or cancellation thereof by such other party or otherwise; provided, that, Licensee shall have no obligation to pursue the activities described in (i) and (ii) beyond the twelve month anniversary of the termination date.</w:t>
      </w:r>
    </w:p>
    <w:p>
      <w:pPr>
        <w:spacing w:after="0" w:line="175" w:lineRule="exact"/>
        <w:rPr>
          <w:sz w:val="20"/>
          <w:szCs w:val="20"/>
          <w:color w:val="auto"/>
        </w:rPr>
      </w:pPr>
    </w:p>
    <w:p>
      <w:pPr>
        <w:jc w:val="both"/>
        <w:ind w:left="1280" w:hanging="635"/>
        <w:spacing w:after="0" w:line="249" w:lineRule="auto"/>
        <w:tabs>
          <w:tab w:leader="none" w:pos="1260" w:val="left"/>
        </w:tabs>
        <w:rPr>
          <w:sz w:val="20"/>
          <w:szCs w:val="20"/>
          <w:color w:val="auto"/>
        </w:rPr>
      </w:pPr>
      <w:r>
        <w:rPr>
          <w:rFonts w:ascii="Arial" w:cs="Arial" w:eastAsia="Arial" w:hAnsi="Arial"/>
          <w:sz w:val="18"/>
          <w:szCs w:val="18"/>
          <w:color w:val="auto"/>
        </w:rPr>
        <w:t>13.3.7</w:t>
      </w:r>
      <w:r>
        <w:rPr>
          <w:sz w:val="20"/>
          <w:szCs w:val="20"/>
          <w:color w:val="auto"/>
        </w:rPr>
        <w:tab/>
      </w:r>
      <w:r>
        <w:rPr>
          <w:rFonts w:ascii="Arial" w:cs="Arial" w:eastAsia="Arial" w:hAnsi="Arial"/>
          <w:sz w:val="18"/>
          <w:szCs w:val="18"/>
          <w:u w:val="single" w:color="auto"/>
          <w:color w:val="auto"/>
        </w:rPr>
        <w:t>Assistance</w:t>
      </w:r>
      <w:r>
        <w:rPr>
          <w:rFonts w:ascii="Arial" w:cs="Arial" w:eastAsia="Arial" w:hAnsi="Arial"/>
          <w:sz w:val="18"/>
          <w:szCs w:val="18"/>
          <w:color w:val="auto"/>
        </w:rPr>
        <w:t>. Furthermore, following termination of this Agreement, Licensee shall, at the request and expense of X4, use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Commercially Reasonable Efforts to provide X4 with such assistance, not to exceed a total of [***]man-hours unless otherwise agreed by the Parties, as is reasonably necessary to effectuate a smooth and orderly transition of any development, manufacture and commercialization activities to X4 or its designee so as to minimize any disruption of such activities. Further, upon X4’s request and expense, in the event of any termination after the First Commercial Sale of a Licensed Product hereunder, Licensee shall provide such technical assistance, not to exceed a total of [***] man-hours unless otherwise agreed by the Parties, as may reasonably be requested to transfer all manufacturing technology that is or had been used by or on behalf of Licensee and its Affiliates in connection with the manufacture of any Licensed Product.</w:t>
      </w:r>
    </w:p>
    <w:p>
      <w:pPr>
        <w:spacing w:after="0" w:line="190" w:lineRule="exact"/>
        <w:rPr>
          <w:sz w:val="20"/>
          <w:szCs w:val="20"/>
          <w:color w:val="auto"/>
        </w:rPr>
      </w:pPr>
    </w:p>
    <w:p>
      <w:pPr>
        <w:jc w:val="both"/>
        <w:ind w:left="1280" w:hanging="635"/>
        <w:spacing w:after="0" w:line="249" w:lineRule="auto"/>
        <w:tabs>
          <w:tab w:leader="none" w:pos="1260" w:val="left"/>
        </w:tabs>
        <w:rPr>
          <w:sz w:val="20"/>
          <w:szCs w:val="20"/>
          <w:color w:val="auto"/>
        </w:rPr>
      </w:pPr>
      <w:r>
        <w:rPr>
          <w:rFonts w:ascii="Arial" w:cs="Arial" w:eastAsia="Arial" w:hAnsi="Arial"/>
          <w:sz w:val="18"/>
          <w:szCs w:val="18"/>
          <w:color w:val="auto"/>
        </w:rPr>
        <w:t>13.3.8</w:t>
      </w:r>
      <w:r>
        <w:rPr>
          <w:sz w:val="20"/>
          <w:szCs w:val="20"/>
          <w:color w:val="auto"/>
        </w:rPr>
        <w:tab/>
      </w:r>
      <w:r>
        <w:rPr>
          <w:rFonts w:ascii="Arial" w:cs="Arial" w:eastAsia="Arial" w:hAnsi="Arial"/>
          <w:sz w:val="18"/>
          <w:szCs w:val="18"/>
          <w:u w:val="single" w:color="auto"/>
          <w:color w:val="auto"/>
        </w:rPr>
        <w:t>Purchase of Stock</w:t>
      </w:r>
      <w:r>
        <w:rPr>
          <w:rFonts w:ascii="Arial" w:cs="Arial" w:eastAsia="Arial" w:hAnsi="Arial"/>
          <w:sz w:val="18"/>
          <w:szCs w:val="18"/>
          <w:color w:val="auto"/>
        </w:rPr>
        <w:t>. Unless otherwise agreed between the Parties in writing, at X4’s sole option, (i) Licensee shall sell to X4</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some or all (in quantities as specified by X4) of the Licensed Products in Licensee's possession and control at a price equal to [***]of the Transfer Price paid by Licensee and Licensee shall co-operate with X4 to facilitate the smooth transfer of the commercialization of Licensed Product in the Territory to X4 or its designee; or (ii) Licensee may continue to sell its existing inventories and any work-in-process of the Licensed Product in accordance with </w:t>
      </w:r>
      <w:r>
        <w:rPr>
          <w:rFonts w:ascii="Arial" w:cs="Arial" w:eastAsia="Arial" w:hAnsi="Arial"/>
          <w:sz w:val="18"/>
          <w:szCs w:val="18"/>
          <w:u w:val="single" w:color="auto"/>
          <w:color w:val="auto"/>
        </w:rPr>
        <w:t>Section 13.3.1.1(f)</w:t>
      </w:r>
      <w:r>
        <w:rPr>
          <w:rFonts w:ascii="Arial" w:cs="Arial" w:eastAsia="Arial" w:hAnsi="Arial"/>
          <w:sz w:val="18"/>
          <w:szCs w:val="18"/>
          <w:color w:val="auto"/>
        </w:rPr>
        <w:t>. If X4 exercises the option to purchase quantities of Licensed Product, the applicable amounts of Licensed Product shall be delivered to X4 at an address nominated by X4 and payment therefore shall be made by X4 after deduction of any amount due and payable by Licensee to X4. If X4 exercises this option, it shall be responsible for reasonable delivery costs.</w:t>
      </w:r>
    </w:p>
    <w:p>
      <w:pPr>
        <w:spacing w:after="0" w:line="190" w:lineRule="exact"/>
        <w:rPr>
          <w:sz w:val="20"/>
          <w:szCs w:val="20"/>
          <w:color w:val="auto"/>
        </w:rPr>
      </w:pPr>
    </w:p>
    <w:p>
      <w:pPr>
        <w:jc w:val="both"/>
        <w:ind w:left="560" w:hanging="635"/>
        <w:spacing w:after="0" w:line="255" w:lineRule="auto"/>
        <w:tabs>
          <w:tab w:leader="none" w:pos="5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Without limiting</w:t>
      </w:r>
      <w:r>
        <w:rPr>
          <w:rFonts w:ascii="Arial" w:cs="Arial" w:eastAsia="Arial" w:hAnsi="Arial"/>
          <w:sz w:val="18"/>
          <w:szCs w:val="18"/>
          <w:u w:val="single" w:color="auto"/>
          <w:color w:val="auto"/>
        </w:rPr>
        <w:t xml:space="preserve"> Section 13.1</w:t>
      </w:r>
      <w:r>
        <w:rPr>
          <w:rFonts w:ascii="Arial" w:cs="Arial" w:eastAsia="Arial" w:hAnsi="Arial"/>
          <w:sz w:val="18"/>
          <w:szCs w:val="18"/>
          <w:color w:val="auto"/>
        </w:rPr>
        <w:t>, and notwithstanding any other provision of this Agreement, the provisions of</w:t>
      </w:r>
      <w:r>
        <w:rPr>
          <w:rFonts w:ascii="Arial" w:cs="Arial" w:eastAsia="Arial" w:hAnsi="Arial"/>
          <w:sz w:val="18"/>
          <w:szCs w:val="18"/>
          <w:u w:val="single" w:color="auto"/>
          <w:color w:val="auto"/>
        </w:rPr>
        <w:t xml:space="preserve"> Articles 1</w:t>
      </w:r>
      <w:r>
        <w:rPr>
          <w:rFonts w:ascii="Arial" w:cs="Arial" w:eastAsia="Arial" w:hAnsi="Arial"/>
          <w:sz w:val="18"/>
          <w:szCs w:val="18"/>
          <w:color w:val="auto"/>
        </w:rPr>
        <w:t>,</w:t>
      </w:r>
      <w:r>
        <w:rPr>
          <w:rFonts w:ascii="Arial" w:cs="Arial" w:eastAsia="Arial" w:hAnsi="Arial"/>
          <w:sz w:val="18"/>
          <w:szCs w:val="18"/>
          <w:u w:val="single" w:color="auto"/>
          <w:color w:val="auto"/>
        </w:rPr>
        <w:t xml:space="preserve"> 9</w:t>
      </w:r>
      <w:r>
        <w:rPr>
          <w:rFonts w:ascii="Arial" w:cs="Arial" w:eastAsia="Arial" w:hAnsi="Arial"/>
          <w:sz w:val="18"/>
          <w:szCs w:val="18"/>
          <w:color w:val="auto"/>
        </w:rPr>
        <w:t>,</w:t>
      </w:r>
      <w:r>
        <w:rPr>
          <w:rFonts w:ascii="Arial" w:cs="Arial" w:eastAsia="Arial" w:hAnsi="Arial"/>
          <w:sz w:val="18"/>
          <w:szCs w:val="18"/>
          <w:u w:val="single" w:color="auto"/>
          <w:color w:val="auto"/>
        </w:rPr>
        <w:t xml:space="preserve"> 13</w:t>
      </w:r>
      <w:r>
        <w:rPr>
          <w:rFonts w:ascii="Arial" w:cs="Arial" w:eastAsia="Arial" w:hAnsi="Arial"/>
          <w:sz w:val="18"/>
          <w:szCs w:val="18"/>
          <w:color w:val="auto"/>
        </w:rPr>
        <w:t>,</w:t>
      </w:r>
      <w:r>
        <w:rPr>
          <w:rFonts w:ascii="Arial" w:cs="Arial" w:eastAsia="Arial" w:hAnsi="Arial"/>
          <w:sz w:val="18"/>
          <w:szCs w:val="18"/>
          <w:u w:val="single" w:color="auto"/>
          <w:color w:val="auto"/>
        </w:rPr>
        <w:t xml:space="preserve"> 14</w:t>
      </w:r>
      <w:r>
        <w:rPr>
          <w:rFonts w:ascii="Arial" w:cs="Arial" w:eastAsia="Arial" w:hAnsi="Arial"/>
          <w:sz w:val="18"/>
          <w:szCs w:val="18"/>
          <w:color w:val="auto"/>
        </w:rPr>
        <w:t>,</w:t>
      </w:r>
      <w:r>
        <w:rPr>
          <w:rFonts w:ascii="Arial" w:cs="Arial" w:eastAsia="Arial" w:hAnsi="Arial"/>
          <w:sz w:val="18"/>
          <w:szCs w:val="18"/>
          <w:u w:val="single" w:color="auto"/>
          <w:color w:val="auto"/>
        </w:rPr>
        <w:t xml:space="preserve"> 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6.5</w:t>
      </w:r>
      <w:r>
        <w:rPr>
          <w:rFonts w:ascii="Arial" w:cs="Arial" w:eastAsia="Arial" w:hAnsi="Arial"/>
          <w:sz w:val="18"/>
          <w:szCs w:val="18"/>
          <w:color w:val="auto"/>
        </w:rPr>
        <w:t xml:space="preserve">,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7.7.4</w:t>
      </w:r>
      <w:r>
        <w:rPr>
          <w:rFonts w:ascii="Arial" w:cs="Arial" w:eastAsia="Arial" w:hAnsi="Arial"/>
          <w:sz w:val="18"/>
          <w:szCs w:val="18"/>
          <w:color w:val="auto"/>
        </w:rPr>
        <w:t xml:space="preserve"> shall survive expiration or termination of this Agreement; provided that the provisions of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xml:space="preserve"> shall survive the termination or expiration of this Agreement for a period of ten (10) years.</w:t>
      </w:r>
    </w:p>
    <w:p>
      <w:pPr>
        <w:spacing w:after="0" w:line="178" w:lineRule="exact"/>
        <w:rPr>
          <w:sz w:val="20"/>
          <w:szCs w:val="20"/>
          <w:color w:val="auto"/>
        </w:rPr>
      </w:pPr>
    </w:p>
    <w:p>
      <w:pPr>
        <w:ind w:left="440" w:hanging="434"/>
        <w:spacing w:after="0"/>
        <w:tabs>
          <w:tab w:leader="none" w:pos="4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19"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 xml:space="preserve">This Agreement and any dispute arising from the performance or breach hereof shall be governed by and construed and enforced in accordance with the laws of State of New York without reference to conflicts of laws principles. To the extent that it may otherwise by applicable, the Parties hereby expressly agree to unconditionally waive and exclude from the operation of this Agreement the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Nations Convention on Contracts for the International Sale of Goods, </w:t>
      </w:r>
      <w:r>
        <w:rPr>
          <w:rFonts w:ascii="Arial" w:cs="Arial" w:eastAsia="Arial" w:hAnsi="Arial"/>
          <w:sz w:val="18"/>
          <w:szCs w:val="18"/>
          <w:color w:val="auto"/>
        </w:rPr>
        <w:t>as amended and as may be amended further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has been negotiated and drafted by the Parties in the English language. Any translation into any other language shall not be an official version thereof. In the event any translation of this Agreement is prepared for convenience or for any other purpose, the provisions of the English version shall prevail.</w:t>
      </w:r>
    </w:p>
    <w:p>
      <w:pPr>
        <w:spacing w:after="0" w:line="185" w:lineRule="exact"/>
        <w:rPr>
          <w:sz w:val="20"/>
          <w:szCs w:val="20"/>
          <w:color w:val="auto"/>
        </w:rPr>
      </w:pPr>
    </w:p>
    <w:p>
      <w:pPr>
        <w:ind w:left="440" w:hanging="434"/>
        <w:spacing w:after="0"/>
        <w:tabs>
          <w:tab w:leader="none" w:pos="4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219" w:lineRule="exact"/>
        <w:rPr>
          <w:sz w:val="20"/>
          <w:szCs w:val="20"/>
          <w:color w:val="auto"/>
        </w:rPr>
      </w:pPr>
    </w:p>
    <w:p>
      <w:pPr>
        <w:jc w:val="both"/>
        <w:ind w:left="620" w:hanging="635"/>
        <w:spacing w:after="0" w:line="266" w:lineRule="auto"/>
        <w:tabs>
          <w:tab w:leader="none" w:pos="60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u w:val="single" w:color="auto"/>
          <w:color w:val="auto"/>
        </w:rPr>
        <w:t>Ne</w:t>
      </w:r>
      <w:r>
        <w:rPr>
          <w:rFonts w:ascii="Arial" w:cs="Arial" w:eastAsia="Arial" w:hAnsi="Arial"/>
          <w:sz w:val="18"/>
          <w:szCs w:val="18"/>
          <w:color w:val="auto"/>
        </w:rPr>
        <w:t>g</w:t>
      </w:r>
      <w:r>
        <w:rPr>
          <w:rFonts w:ascii="Arial" w:cs="Arial" w:eastAsia="Arial" w:hAnsi="Arial"/>
          <w:sz w:val="18"/>
          <w:szCs w:val="18"/>
          <w:u w:val="single" w:color="auto"/>
          <w:color w:val="auto"/>
        </w:rPr>
        <w:t>otiation</w:t>
      </w:r>
      <w:r>
        <w:rPr>
          <w:rFonts w:ascii="Arial" w:cs="Arial" w:eastAsia="Arial" w:hAnsi="Arial"/>
          <w:sz w:val="18"/>
          <w:szCs w:val="18"/>
          <w:color w:val="auto"/>
        </w:rPr>
        <w:t>. The Parties shall attempt in good faith to resolve any and all disputes that arise between them promptly, voluntarily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amicably. Any dispute arising between the Parties relating to, arising out of, or in any way connected with this Agreement, or any term or condition hereof, or the performance by either Party of its obligations hereunder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381635</wp:posOffset>
            </wp:positionV>
            <wp:extent cx="71348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95" w:right="339" w:bottom="1440" w:gutter="0" w:footer="0" w:header="0"/>
        </w:sectPr>
      </w:pPr>
    </w:p>
    <w:bookmarkStart w:id="171" w:name="page172"/>
    <w:bookmarkEnd w:id="171"/>
    <w:p>
      <w:pPr>
        <w:jc w:val="both"/>
        <w:ind w:left="640"/>
        <w:spacing w:after="0" w:line="24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4">
                      <a:extLst>
                        <a:ext uri="{28A0092B-C50C-407E-A947-70E740481C1C}"/>
                      </a:extLst>
                    </a:blip>
                    <a:srcRect/>
                    <a:stretch>
                      <a:fillRect/>
                    </a:stretch>
                  </pic:blipFill>
                  <pic:spPr bwMode="auto">
                    <a:xfrm>
                      <a:off x="0" y="0"/>
                      <a:ext cx="7134860" cy="8255"/>
                    </a:xfrm>
                    <a:prstGeom prst="rect">
                      <a:avLst/>
                    </a:prstGeom>
                    <a:noFill/>
                  </pic:spPr>
                </pic:pic>
              </a:graphicData>
            </a:graphic>
          </wp:anchor>
        </w:drawing>
        <w:t>whether before or after expiration or termination of this Agreement, which is not settled by the Parties within [***] days after written notice of such Dispute is first given by one Party to the other Party in writing, will be referred to a senior executive designated by X4 and a senior executive designated by Licensee who are authorized to settle such Dispute on behalf of their respective companies ("</w:t>
      </w:r>
      <w:r>
        <w:rPr>
          <w:rFonts w:ascii="Arial" w:cs="Arial" w:eastAsia="Arial" w:hAnsi="Arial"/>
          <w:sz w:val="18"/>
          <w:szCs w:val="18"/>
          <w:b w:val="1"/>
          <w:bCs w:val="1"/>
          <w:color w:val="auto"/>
        </w:rPr>
        <w:t>Senior</w:t>
      </w:r>
      <w:r>
        <w:rPr>
          <w:rFonts w:ascii="Arial" w:cs="Arial" w:eastAsia="Arial" w:hAnsi="Arial"/>
          <w:sz w:val="18"/>
          <w:szCs w:val="18"/>
          <w:color w:val="auto"/>
        </w:rPr>
        <w:t xml:space="preserve"> </w:t>
      </w:r>
      <w:r>
        <w:rPr>
          <w:rFonts w:ascii="Arial" w:cs="Arial" w:eastAsia="Arial" w:hAnsi="Arial"/>
          <w:sz w:val="18"/>
          <w:szCs w:val="18"/>
          <w:b w:val="1"/>
          <w:bCs w:val="1"/>
          <w:color w:val="auto"/>
        </w:rPr>
        <w:t>Executives</w:t>
      </w:r>
      <w:r>
        <w:rPr>
          <w:rFonts w:ascii="Arial" w:cs="Arial" w:eastAsia="Arial" w:hAnsi="Arial"/>
          <w:sz w:val="18"/>
          <w:szCs w:val="18"/>
          <w:color w:val="auto"/>
        </w:rPr>
        <w:t>"). The Senior Executives will meet (or confer by telephone or video conference) promptly and no later than within [***] days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after the end of the initial [***]-day period referred to above, at a time and place mutually acceptable to both Senior Executives (acting reasonably). If the Dispute has not been resolved by the Senior Executives within [***] days after the end of the initial [***]-day period referred to above (or such longer time period as may be mutually agreed upon by the Senior Executives), the Dispute will be resolved in accordance with the remainder of this </w:t>
      </w:r>
      <w:r>
        <w:rPr>
          <w:rFonts w:ascii="Arial" w:cs="Arial" w:eastAsia="Arial" w:hAnsi="Arial"/>
          <w:sz w:val="18"/>
          <w:szCs w:val="18"/>
          <w:u w:val="single" w:color="auto"/>
          <w:color w:val="auto"/>
        </w:rPr>
        <w:t>Article 15</w:t>
      </w:r>
      <w:r>
        <w:rPr>
          <w:rFonts w:ascii="Arial" w:cs="Arial" w:eastAsia="Arial" w:hAnsi="Arial"/>
          <w:sz w:val="18"/>
          <w:szCs w:val="18"/>
          <w:color w:val="auto"/>
        </w:rPr>
        <w:t>.</w:t>
      </w:r>
    </w:p>
    <w:p>
      <w:pPr>
        <w:spacing w:after="0" w:line="190" w:lineRule="exact"/>
        <w:rPr>
          <w:sz w:val="20"/>
          <w:szCs w:val="20"/>
          <w:color w:val="auto"/>
        </w:rPr>
      </w:pPr>
    </w:p>
    <w:p>
      <w:pPr>
        <w:jc w:val="both"/>
        <w:ind w:left="560" w:hanging="635"/>
        <w:spacing w:after="0" w:line="255" w:lineRule="auto"/>
        <w:tabs>
          <w:tab w:leader="none" w:pos="5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u w:val="single" w:color="auto"/>
          <w:color w:val="auto"/>
        </w:rPr>
        <w:t>Jurisdiction</w:t>
      </w:r>
      <w:r>
        <w:rPr>
          <w:rFonts w:ascii="Arial" w:cs="Arial" w:eastAsia="Arial" w:hAnsi="Arial"/>
          <w:sz w:val="18"/>
          <w:szCs w:val="18"/>
          <w:color w:val="auto"/>
        </w:rPr>
        <w:t>. If a Dispute is not resolved in accordance with</w:t>
      </w:r>
      <w:r>
        <w:rPr>
          <w:rFonts w:ascii="Arial" w:cs="Arial" w:eastAsia="Arial" w:hAnsi="Arial"/>
          <w:sz w:val="18"/>
          <w:szCs w:val="18"/>
          <w:u w:val="single" w:color="auto"/>
          <w:color w:val="auto"/>
        </w:rPr>
        <w:t xml:space="preserve"> Section 15.1</w:t>
      </w:r>
      <w:r>
        <w:rPr>
          <w:rFonts w:ascii="Arial" w:cs="Arial" w:eastAsia="Arial" w:hAnsi="Arial"/>
          <w:sz w:val="18"/>
          <w:szCs w:val="18"/>
          <w:color w:val="auto"/>
        </w:rPr>
        <w:t>, the Parties irrevocably agree that the courts of New York, New</w:t>
      </w:r>
      <w:r>
        <w:rPr>
          <w:rFonts w:ascii="Arial" w:cs="Arial" w:eastAsia="Arial" w:hAnsi="Arial"/>
          <w:sz w:val="18"/>
          <w:szCs w:val="18"/>
          <w:u w:val="single" w:color="auto"/>
          <w:color w:val="auto"/>
        </w:rPr>
        <w:t xml:space="preserve"> </w:t>
      </w:r>
      <w:r>
        <w:rPr>
          <w:rFonts w:ascii="Arial" w:cs="Arial" w:eastAsia="Arial" w:hAnsi="Arial"/>
          <w:sz w:val="18"/>
          <w:szCs w:val="18"/>
          <w:color w:val="auto"/>
        </w:rPr>
        <w:t>York, USA shall have exclusive jurisdiction to hear and decide any suit, action or proceedings, or to settle any disputes, which may arise out of or in any way relate to this Agreement or its formation and, for these purposes, each Party irrevocably submits to the jurisdiction of the courts of New York, New York, USA.</w:t>
      </w:r>
    </w:p>
    <w:p>
      <w:pPr>
        <w:spacing w:after="0" w:line="180" w:lineRule="exact"/>
        <w:rPr>
          <w:sz w:val="20"/>
          <w:szCs w:val="20"/>
          <w:color w:val="auto"/>
        </w:rPr>
      </w:pPr>
    </w:p>
    <w:p>
      <w:pPr>
        <w:jc w:val="both"/>
        <w:ind w:left="580" w:hanging="635"/>
        <w:spacing w:after="0" w:line="250" w:lineRule="auto"/>
        <w:tabs>
          <w:tab w:leader="none" w:pos="5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u w:val="single" w:color="auto"/>
          <w:color w:val="auto"/>
        </w:rPr>
        <w:t>Court Actions; In</w:t>
      </w:r>
      <w:r>
        <w:rPr>
          <w:rFonts w:ascii="Arial" w:cs="Arial" w:eastAsia="Arial" w:hAnsi="Arial"/>
          <w:sz w:val="18"/>
          <w:szCs w:val="18"/>
          <w:color w:val="auto"/>
        </w:rPr>
        <w:t>j</w:t>
      </w:r>
      <w:r>
        <w:rPr>
          <w:rFonts w:ascii="Arial" w:cs="Arial" w:eastAsia="Arial" w:hAnsi="Arial"/>
          <w:sz w:val="18"/>
          <w:szCs w:val="18"/>
          <w:u w:val="single" w:color="auto"/>
          <w:color w:val="auto"/>
        </w:rPr>
        <w:t>unctive Relief</w:t>
      </w:r>
      <w:r>
        <w:rPr>
          <w:rFonts w:ascii="Arial" w:cs="Arial" w:eastAsia="Arial" w:hAnsi="Arial"/>
          <w:sz w:val="18"/>
          <w:szCs w:val="18"/>
          <w:color w:val="auto"/>
        </w:rPr>
        <w:t>. Notwithstanding</w:t>
      </w:r>
      <w:r>
        <w:rPr>
          <w:rFonts w:ascii="Arial" w:cs="Arial" w:eastAsia="Arial" w:hAnsi="Arial"/>
          <w:sz w:val="18"/>
          <w:szCs w:val="18"/>
          <w:u w:val="single" w:color="auto"/>
          <w:color w:val="auto"/>
        </w:rPr>
        <w:t xml:space="preserve"> Sections 15.1 and 15.2</w:t>
      </w:r>
      <w:r>
        <w:rPr>
          <w:rFonts w:ascii="Arial" w:cs="Arial" w:eastAsia="Arial" w:hAnsi="Arial"/>
          <w:sz w:val="18"/>
          <w:szCs w:val="18"/>
          <w:color w:val="auto"/>
        </w:rPr>
        <w:t>, to the full extent allowed by Applicable Law, either Party may</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bring an action in any court of competent jurisdiction for injunctive relief (or any other provisional remedy) to protect the Parties' rights or enforce the Parties' obligations under this Agreement without the requirement to implement the negotiation process under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above. In addition, either Party may bring an action in any court of competent jurisdiction to resolve disputes pertaining to the validity, construction, scope, enforceability, infringement or other violations of Patents or other proprietary or intellectual property rights. Each Party waives any right, and agrees not to apply to have any disputes under this Agreement tried or otherwise determined by a jury, except where required by Applicable Law.</w:t>
      </w:r>
    </w:p>
    <w:p>
      <w:pPr>
        <w:spacing w:after="0" w:line="185" w:lineRule="exact"/>
        <w:rPr>
          <w:sz w:val="20"/>
          <w:szCs w:val="20"/>
          <w:color w:val="auto"/>
        </w:rPr>
      </w:pPr>
    </w:p>
    <w:p>
      <w:pPr>
        <w:ind w:left="440" w:hanging="434"/>
        <w:spacing w:after="0"/>
        <w:tabs>
          <w:tab w:leader="none" w:pos="4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19"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This Agreement may not be transferred or assigned, either totally or in part, by either of the Parties hereto to any Third Party without the prior written consent of the other Party, except that either Party shall have the right to assign this Agreement (i) to one or more of its Affiliates; (ii) to a successor following a merger, reorganization, consolidation or similar event with a Third Party; or (iii) to a successor to all or substantially all of its assets relating to the Licensed Product. Any permitted assignee will assume all obligations of its assignor under this Agreement (or related to the assigned portion in case of a partial assignment). Any attempted assignment in contravention of the foregoing will be null and void. Subject to the terms of this Agreement, this Agreement will be binding upon and inure to the benefit of the Parties and their respective successors and permitted assigns.</w:t>
      </w:r>
    </w:p>
    <w:p>
      <w:pPr>
        <w:spacing w:after="0" w:line="185" w:lineRule="exact"/>
        <w:rPr>
          <w:sz w:val="20"/>
          <w:szCs w:val="20"/>
          <w:color w:val="auto"/>
        </w:rPr>
      </w:pPr>
    </w:p>
    <w:p>
      <w:pPr>
        <w:ind w:left="440" w:hanging="434"/>
        <w:spacing w:after="0"/>
        <w:tabs>
          <w:tab w:leader="none" w:pos="4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219" w:lineRule="exact"/>
        <w:rPr>
          <w:sz w:val="20"/>
          <w:szCs w:val="20"/>
          <w:color w:val="auto"/>
        </w:rPr>
      </w:pPr>
    </w:p>
    <w:p>
      <w:pPr>
        <w:ind w:left="640"/>
        <w:spacing w:after="0" w:line="274" w:lineRule="auto"/>
        <w:rPr>
          <w:sz w:val="20"/>
          <w:szCs w:val="20"/>
          <w:color w:val="auto"/>
        </w:rPr>
      </w:pPr>
      <w:r>
        <w:rPr>
          <w:rFonts w:ascii="Arial" w:cs="Arial" w:eastAsia="Arial" w:hAnsi="Arial"/>
          <w:sz w:val="18"/>
          <w:szCs w:val="18"/>
          <w:color w:val="auto"/>
        </w:rPr>
        <w:t>The waiver of and relief from any breach or non-fulfilment of any term and condition of this Agreement does not constitute a waiver of or relief from any other breach or non-fulfilment of that or any other term and condition.</w:t>
      </w:r>
    </w:p>
    <w:p>
      <w:pPr>
        <w:spacing w:after="0" w:line="161" w:lineRule="exact"/>
        <w:rPr>
          <w:sz w:val="20"/>
          <w:szCs w:val="20"/>
          <w:color w:val="auto"/>
        </w:rPr>
      </w:pPr>
    </w:p>
    <w:p>
      <w:pPr>
        <w:ind w:left="440" w:hanging="434"/>
        <w:spacing w:after="0"/>
        <w:tabs>
          <w:tab w:leader="none" w:pos="4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INDEMNITY AND INSURANCE</w:t>
      </w:r>
    </w:p>
    <w:p>
      <w:pPr>
        <w:spacing w:after="0" w:line="219" w:lineRule="exact"/>
        <w:rPr>
          <w:sz w:val="20"/>
          <w:szCs w:val="20"/>
          <w:color w:val="auto"/>
        </w:rPr>
      </w:pPr>
    </w:p>
    <w:p>
      <w:pPr>
        <w:jc w:val="both"/>
        <w:ind w:left="560" w:hanging="635"/>
        <w:spacing w:after="0" w:line="253" w:lineRule="auto"/>
        <w:tabs>
          <w:tab w:leader="none" w:pos="5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u w:val="single" w:color="auto"/>
          <w:color w:val="auto"/>
        </w:rPr>
        <w:t>X4 Indemnification Obli</w:t>
      </w:r>
      <w:r>
        <w:rPr>
          <w:rFonts w:ascii="Arial" w:cs="Arial" w:eastAsia="Arial" w:hAnsi="Arial"/>
          <w:sz w:val="18"/>
          <w:szCs w:val="18"/>
          <w:color w:val="auto"/>
        </w:rPr>
        <w:t>g</w:t>
      </w:r>
      <w:r>
        <w:rPr>
          <w:rFonts w:ascii="Arial" w:cs="Arial" w:eastAsia="Arial" w:hAnsi="Arial"/>
          <w:sz w:val="18"/>
          <w:szCs w:val="18"/>
          <w:u w:val="single" w:color="auto"/>
          <w:color w:val="auto"/>
        </w:rPr>
        <w:t xml:space="preserve">ations. </w:t>
      </w:r>
      <w:r>
        <w:rPr>
          <w:rFonts w:ascii="Arial" w:cs="Arial" w:eastAsia="Arial" w:hAnsi="Arial"/>
          <w:sz w:val="18"/>
          <w:szCs w:val="18"/>
          <w:color w:val="auto"/>
        </w:rPr>
        <w:t>Subject to the provisions of this</w:t>
      </w:r>
      <w:r>
        <w:rPr>
          <w:rFonts w:ascii="Arial" w:cs="Arial" w:eastAsia="Arial" w:hAnsi="Arial"/>
          <w:sz w:val="18"/>
          <w:szCs w:val="18"/>
          <w:u w:val="single" w:color="auto"/>
          <w:color w:val="auto"/>
        </w:rPr>
        <w:t xml:space="preserve"> Article 18</w:t>
      </w:r>
      <w:r>
        <w:rPr>
          <w:rFonts w:ascii="Arial" w:cs="Arial" w:eastAsia="Arial" w:hAnsi="Arial"/>
          <w:sz w:val="18"/>
          <w:szCs w:val="18"/>
          <w:color w:val="auto"/>
        </w:rPr>
        <w:t>, X4 shall indemnify, defend and hold Licensee and its owners,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officers, directors, Affiliates, and employees (collectively, </w:t>
      </w:r>
      <w:r>
        <w:rPr>
          <w:rFonts w:ascii="Arial" w:cs="Arial" w:eastAsia="Arial" w:hAnsi="Arial"/>
          <w:sz w:val="18"/>
          <w:szCs w:val="18"/>
          <w:b w:val="1"/>
          <w:bCs w:val="1"/>
          <w:color w:val="auto"/>
        </w:rPr>
        <w:t>"Licensee Indemnified Parties</w:t>
      </w:r>
      <w:r>
        <w:rPr>
          <w:rFonts w:ascii="Arial" w:cs="Arial" w:eastAsia="Arial" w:hAnsi="Arial"/>
          <w:sz w:val="18"/>
          <w:szCs w:val="18"/>
          <w:color w:val="auto"/>
        </w:rPr>
        <w:t>") harmless from and against any and all losses arising out of or resulting from any Third Party Claims ("</w:t>
      </w:r>
      <w:r>
        <w:rPr>
          <w:rFonts w:ascii="Arial" w:cs="Arial" w:eastAsia="Arial" w:hAnsi="Arial"/>
          <w:sz w:val="18"/>
          <w:szCs w:val="18"/>
          <w:b w:val="1"/>
          <w:bCs w:val="1"/>
          <w:color w:val="auto"/>
        </w:rPr>
        <w:t>Losses</w:t>
      </w:r>
      <w:r>
        <w:rPr>
          <w:rFonts w:ascii="Arial" w:cs="Arial" w:eastAsia="Arial" w:hAnsi="Arial"/>
          <w:sz w:val="18"/>
          <w:szCs w:val="18"/>
          <w:color w:val="auto"/>
        </w:rPr>
        <w:t>") made or suits brought against Licensee Indemnified Parties which arise or result from (i) X4's material breach of any of its representations, warranties or covenants set forth in this Agreement,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71348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95" w:right="339" w:bottom="1440" w:gutter="0" w:footer="0" w:header="0"/>
        </w:sectPr>
      </w:pPr>
    </w:p>
    <w:bookmarkStart w:id="172" w:name="page173"/>
    <w:bookmarkEnd w:id="172"/>
    <w:p>
      <w:pPr>
        <w:jc w:val="both"/>
        <w:ind w:left="6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6">
                      <a:extLst>
                        <a:ext uri="{28A0092B-C50C-407E-A947-70E740481C1C}"/>
                      </a:extLst>
                    </a:blip>
                    <a:srcRect/>
                    <a:stretch>
                      <a:fillRect/>
                    </a:stretch>
                  </pic:blipFill>
                  <pic:spPr bwMode="auto">
                    <a:xfrm>
                      <a:off x="0" y="0"/>
                      <a:ext cx="7134860" cy="8255"/>
                    </a:xfrm>
                    <a:prstGeom prst="rect">
                      <a:avLst/>
                    </a:prstGeom>
                    <a:noFill/>
                  </pic:spPr>
                </pic:pic>
              </a:graphicData>
            </a:graphic>
          </wp:anchor>
        </w:drawing>
        <w:t>obligations hereunder; (ii) X4's manufacture, registration, handling, storage, use, transportation or sale (whether inside or outside the Territory) of any Licensed Product on or after the Effective Date, including, without limitation, any Third Party Claim for personal injury or death, to the extent such Third Party Claims arise from the period of time commencing on or after the Effective Date and to the extent such is not attributable to Licensee's breach of this Agreement or any Applicable Laws; (iii) X4's negligence or wilful misconduct with regard to the Licensed Products to the extent such is not attributable to Licensee's breach of this Agreement or any Applicable Laws, or</w:t>
      </w:r>
    </w:p>
    <w:p>
      <w:pPr>
        <w:spacing w:after="0" w:line="1" w:lineRule="exact"/>
        <w:rPr>
          <w:sz w:val="20"/>
          <w:szCs w:val="20"/>
          <w:color w:val="auto"/>
        </w:rPr>
      </w:pPr>
    </w:p>
    <w:p>
      <w:pPr>
        <w:jc w:val="both"/>
        <w:ind w:left="640" w:firstLine="2"/>
        <w:spacing w:after="0" w:line="250" w:lineRule="auto"/>
        <w:tabs>
          <w:tab w:leader="none" w:pos="9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any claim that the manufacture, import, export, promotion, distribution, marketing, advertising, offering for sale, or sale of Licensed Product in the Territory infringes any intellectual property rights of any Third Party; or (v) any other claim arising outside the Territory other than a claim in respect of which Licensee provides indemnification pursuant to </w:t>
      </w:r>
      <w:r>
        <w:rPr>
          <w:rFonts w:ascii="Arial" w:cs="Arial" w:eastAsia="Arial" w:hAnsi="Arial"/>
          <w:sz w:val="18"/>
          <w:szCs w:val="18"/>
          <w:u w:val="single" w:color="auto"/>
          <w:color w:val="auto"/>
        </w:rPr>
        <w:t>Section 18.2</w:t>
      </w:r>
      <w:r>
        <w:rPr>
          <w:rFonts w:ascii="Arial" w:cs="Arial" w:eastAsia="Arial" w:hAnsi="Arial"/>
          <w:sz w:val="18"/>
          <w:szCs w:val="18"/>
          <w:color w:val="auto"/>
        </w:rPr>
        <w:t>.</w:t>
      </w:r>
    </w:p>
    <w:p>
      <w:pPr>
        <w:spacing w:after="0" w:line="185" w:lineRule="exact"/>
        <w:rPr>
          <w:sz w:val="20"/>
          <w:szCs w:val="20"/>
          <w:color w:val="auto"/>
        </w:rPr>
      </w:pPr>
    </w:p>
    <w:p>
      <w:pPr>
        <w:jc w:val="both"/>
        <w:ind w:left="600" w:hanging="635"/>
        <w:spacing w:after="0" w:line="248" w:lineRule="auto"/>
        <w:tabs>
          <w:tab w:leader="none" w:pos="5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u w:val="single" w:color="auto"/>
          <w:color w:val="auto"/>
        </w:rPr>
        <w:t>Licensee's Indemnification Obli</w:t>
      </w:r>
      <w:r>
        <w:rPr>
          <w:rFonts w:ascii="Arial" w:cs="Arial" w:eastAsia="Arial" w:hAnsi="Arial"/>
          <w:sz w:val="18"/>
          <w:szCs w:val="18"/>
          <w:color w:val="auto"/>
        </w:rPr>
        <w:t>g</w:t>
      </w:r>
      <w:r>
        <w:rPr>
          <w:rFonts w:ascii="Arial" w:cs="Arial" w:eastAsia="Arial" w:hAnsi="Arial"/>
          <w:sz w:val="18"/>
          <w:szCs w:val="18"/>
          <w:u w:val="single" w:color="auto"/>
          <w:color w:val="auto"/>
        </w:rPr>
        <w:t>ations</w:t>
      </w:r>
      <w:r>
        <w:rPr>
          <w:rFonts w:ascii="Arial" w:cs="Arial" w:eastAsia="Arial" w:hAnsi="Arial"/>
          <w:sz w:val="18"/>
          <w:szCs w:val="18"/>
          <w:color w:val="auto"/>
        </w:rPr>
        <w:t>. Licensee shall indemnify, defend and hold X4 and its officers, directors, agents, Affiliates,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 (collectively, "</w:t>
      </w:r>
      <w:r>
        <w:rPr>
          <w:rFonts w:ascii="Arial" w:cs="Arial" w:eastAsia="Arial" w:hAnsi="Arial"/>
          <w:sz w:val="18"/>
          <w:szCs w:val="18"/>
          <w:b w:val="1"/>
          <w:bCs w:val="1"/>
          <w:color w:val="auto"/>
        </w:rPr>
        <w:t>X4 Indemnified Parties</w:t>
      </w:r>
      <w:r>
        <w:rPr>
          <w:rFonts w:ascii="Arial" w:cs="Arial" w:eastAsia="Arial" w:hAnsi="Arial"/>
          <w:sz w:val="18"/>
          <w:szCs w:val="18"/>
          <w:color w:val="auto"/>
        </w:rPr>
        <w:t xml:space="preserve">") harmless from and against any and all Losses arising out of or resulting from any Third Party Claims made or suits brought against X4 Indemnified Parties which arise or result from (i) Licensee's material breach of any of its representations, warranties or covenants set forth in this Agreement, or any of its obligations hereunder; (ii) Licensee's marketing, distribution, or sale of any Licensed Product on or after the Effective Date, including, without limitation, any Third Party Claim for personal injury or death, to the extent such Third Party Claims arise from the period time commencing on or after the Effective Date and to the extent such is not attributable to X4's breach of this Agreement or any Applicable Law; or (iii) Licensee's negligence or wilful misconduct with regard to the Licensed Products to the extent such is not attributable to X4's breach of this Agreement or any Applicable Laws. Licensee shall have no obligation to indemnify the X4 Indemnified Parties to the extent that the Losses arise out of or result from, directly or indirectly, matters for which X4 is obligated to indemnify Licensee under </w:t>
      </w:r>
      <w:r>
        <w:rPr>
          <w:rFonts w:ascii="Arial" w:cs="Arial" w:eastAsia="Arial" w:hAnsi="Arial"/>
          <w:sz w:val="18"/>
          <w:szCs w:val="18"/>
          <w:u w:val="single" w:color="auto"/>
          <w:color w:val="auto"/>
        </w:rPr>
        <w:t>Section 18.1</w:t>
      </w:r>
      <w:r>
        <w:rPr>
          <w:rFonts w:ascii="Arial" w:cs="Arial" w:eastAsia="Arial" w:hAnsi="Arial"/>
          <w:sz w:val="18"/>
          <w:szCs w:val="18"/>
          <w:color w:val="auto"/>
        </w:rPr>
        <w:t>. X4 must promptly notify Licensee in writing of any such claim or threats of claims that it receives from a Third Party.</w:t>
      </w:r>
    </w:p>
    <w:p>
      <w:pPr>
        <w:spacing w:after="0" w:line="19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w:t>
      </w:r>
    </w:p>
    <w:p>
      <w:pPr>
        <w:spacing w:after="0" w:line="215" w:lineRule="exact"/>
        <w:rPr>
          <w:sz w:val="20"/>
          <w:szCs w:val="20"/>
          <w:color w:val="auto"/>
        </w:rPr>
      </w:pPr>
    </w:p>
    <w:p>
      <w:pPr>
        <w:jc w:val="both"/>
        <w:ind w:left="1280" w:hanging="635"/>
        <w:spacing w:after="0" w:line="248" w:lineRule="auto"/>
        <w:tabs>
          <w:tab w:leader="none" w:pos="1260" w:val="left"/>
        </w:tabs>
        <w:rPr>
          <w:sz w:val="20"/>
          <w:szCs w:val="20"/>
          <w:color w:val="auto"/>
        </w:rPr>
      </w:pPr>
      <w:r>
        <w:rPr>
          <w:rFonts w:ascii="Arial" w:cs="Arial" w:eastAsia="Arial" w:hAnsi="Arial"/>
          <w:sz w:val="18"/>
          <w:szCs w:val="18"/>
          <w:color w:val="auto"/>
        </w:rPr>
        <w:t>18.3.1</w:t>
        <w:tab/>
        <w:t>For purposes of this Agreement, "</w:t>
      </w:r>
      <w:r>
        <w:rPr>
          <w:rFonts w:ascii="Arial" w:cs="Arial" w:eastAsia="Arial" w:hAnsi="Arial"/>
          <w:sz w:val="18"/>
          <w:szCs w:val="18"/>
          <w:b w:val="1"/>
          <w:bCs w:val="1"/>
          <w:color w:val="auto"/>
        </w:rPr>
        <w:t>Third Party Claim</w:t>
      </w:r>
      <w:r>
        <w:rPr>
          <w:rFonts w:ascii="Arial" w:cs="Arial" w:eastAsia="Arial" w:hAnsi="Arial"/>
          <w:sz w:val="18"/>
          <w:szCs w:val="18"/>
          <w:color w:val="auto"/>
        </w:rPr>
        <w:t>" means a claim asserted by a Third Party (in no event to include any Affiliate of either Party) against a Licensee Indemnified Party or X4 Indemnified Party, as applicable (each, an "</w:t>
      </w:r>
      <w:r>
        <w:rPr>
          <w:rFonts w:ascii="Arial" w:cs="Arial" w:eastAsia="Arial" w:hAnsi="Arial"/>
          <w:sz w:val="18"/>
          <w:szCs w:val="18"/>
          <w:b w:val="1"/>
          <w:bCs w:val="1"/>
          <w:color w:val="auto"/>
        </w:rPr>
        <w:t>Indemnified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In the event a Third Party Claim is asserted with respect to any matter for which an Indemnified Party is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hereunder, then the Party entitled to seek indemnification in respect thereof (the "</w:t>
      </w:r>
      <w:r>
        <w:rPr>
          <w:rFonts w:ascii="Arial" w:cs="Arial" w:eastAsia="Arial" w:hAnsi="Arial"/>
          <w:sz w:val="18"/>
          <w:szCs w:val="18"/>
          <w:b w:val="1"/>
          <w:bCs w:val="1"/>
          <w:color w:val="auto"/>
        </w:rPr>
        <w:t>Indemnitee</w:t>
      </w:r>
      <w:r>
        <w:rPr>
          <w:rFonts w:ascii="Arial" w:cs="Arial" w:eastAsia="Arial" w:hAnsi="Arial"/>
          <w:sz w:val="18"/>
          <w:szCs w:val="18"/>
          <w:color w:val="auto"/>
        </w:rPr>
        <w:t>") shall promptly notify in writing the Party obligated to indemnify the Indemnified Party thereof (the "</w:t>
      </w:r>
      <w:r>
        <w:rPr>
          <w:rFonts w:ascii="Arial" w:cs="Arial" w:eastAsia="Arial" w:hAnsi="Arial"/>
          <w:sz w:val="18"/>
          <w:szCs w:val="18"/>
          <w:b w:val="1"/>
          <w:bCs w:val="1"/>
          <w:color w:val="auto"/>
        </w:rPr>
        <w:t>Indemnitor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no delay on the part of the Indemnitee in notifying the Indemnitor shall relieve the Indemnitor from any obligation hereunder unless (and then only to the extent that) the Indemnitor is prejudiced thereby. Such notice shall request indemnification and describe the potential Losses and Third Party Claim giving rise to the request for indemnification, and provide, to the extent known and in reasonable detail, relevant details thereof. If the Indemnitor fails to give the Indemnitee notice of its intention to defend any such Third Party Claim as provided in this </w:t>
      </w:r>
      <w:r>
        <w:rPr>
          <w:rFonts w:ascii="Arial" w:cs="Arial" w:eastAsia="Arial" w:hAnsi="Arial"/>
          <w:sz w:val="18"/>
          <w:szCs w:val="18"/>
          <w:u w:val="single" w:color="auto"/>
          <w:color w:val="auto"/>
        </w:rPr>
        <w:t>Section 18.3.1</w:t>
      </w:r>
      <w:r>
        <w:rPr>
          <w:rFonts w:ascii="Arial" w:cs="Arial" w:eastAsia="Arial" w:hAnsi="Arial"/>
          <w:sz w:val="18"/>
          <w:szCs w:val="18"/>
          <w:color w:val="auto"/>
        </w:rPr>
        <w:t>, the Indemnitee shall have the right to assume the defense thereof with counsel of its choice, at the Indemnitor's expense, and defend, settle or otherwise dispose of such Third Party Claim without the consent of the Indemnitor.</w:t>
      </w:r>
    </w:p>
    <w:p>
      <w:pPr>
        <w:spacing w:after="0" w:line="191" w:lineRule="exact"/>
        <w:rPr>
          <w:sz w:val="20"/>
          <w:szCs w:val="20"/>
          <w:color w:val="auto"/>
        </w:rPr>
      </w:pPr>
    </w:p>
    <w:p>
      <w:pPr>
        <w:jc w:val="both"/>
        <w:ind w:left="1280" w:hanging="635"/>
        <w:spacing w:after="0" w:line="253" w:lineRule="auto"/>
        <w:tabs>
          <w:tab w:leader="none" w:pos="1260" w:val="left"/>
        </w:tabs>
        <w:rPr>
          <w:sz w:val="20"/>
          <w:szCs w:val="20"/>
          <w:color w:val="auto"/>
        </w:rPr>
      </w:pPr>
      <w:r>
        <w:rPr>
          <w:rFonts w:ascii="Arial" w:cs="Arial" w:eastAsia="Arial" w:hAnsi="Arial"/>
          <w:sz w:val="18"/>
          <w:szCs w:val="18"/>
          <w:color w:val="auto"/>
        </w:rPr>
        <w:t>18.3.2</w:t>
        <w:tab/>
        <w:t>In the event the Indemnitor elects to assume the defense of a Third Party Claim, the Indemnitee of the Third Party Claim in question and any successor thereto shall permit Indemnitor's counsel and independent auditors, to the extent relevant, reasonable access to its books and records and otherwise fully cooperate with the Indemnitor in connection with such Third Party Claim; provided, however, that (i) the Indemnitee shall have the right fully to participate in such defense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394970</wp:posOffset>
            </wp:positionV>
            <wp:extent cx="7134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95" w:right="339" w:bottom="1440" w:gutter="0" w:footer="0" w:header="0"/>
        </w:sectPr>
      </w:pPr>
    </w:p>
    <w:bookmarkStart w:id="173" w:name="page174"/>
    <w:bookmarkEnd w:id="173"/>
    <w:p>
      <w:pPr>
        <w:jc w:val="both"/>
        <w:ind w:left="1280" w:hanging="2"/>
        <w:spacing w:after="0" w:line="265" w:lineRule="auto"/>
        <w:tabs>
          <w:tab w:leader="none" w:pos="1538"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8">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the Indemnitor's counsel and independent auditors shall not disclose any Confidential Information of the Indemnitee to the Indemnitor without the Indemnitee's consent; (iii) access shall only be given to the books and records that are relevant to the Third Party Claim or Losses at issue. The defense by the Indemnitor of any such actions shall not be deemed a waiver by the Indemnitee of its right to assert a claim with respect to the responsibility of the Indemnitor with respect to the Third Party Claim or Losses in question. The Indemnitor shall not have the right to settle or compromise any Third Party Claim against the Indemnitee (that the Indemnitor has defended pursuant to this </w:t>
      </w:r>
      <w:r>
        <w:rPr>
          <w:rFonts w:ascii="Arial" w:cs="Arial" w:eastAsia="Arial" w:hAnsi="Arial"/>
          <w:sz w:val="17"/>
          <w:szCs w:val="17"/>
          <w:u w:val="single" w:color="auto"/>
          <w:color w:val="auto"/>
        </w:rPr>
        <w:t>Section 18.3.2</w:t>
      </w:r>
      <w:r>
        <w:rPr>
          <w:rFonts w:ascii="Arial" w:cs="Arial" w:eastAsia="Arial" w:hAnsi="Arial"/>
          <w:sz w:val="17"/>
          <w:szCs w:val="17"/>
          <w:color w:val="auto"/>
        </w:rPr>
        <w:t>) without the consent of the Indemnitee which shall not be unreasonably withheld or delayed. No Indemnitee shall pay or voluntarily permit the determination of any Losses which is subject to any such Third Party Claim while the Indemnitor is negotiating the settlement thereof or contesting the matter, except with the prior written consent of the Indemnitor, which consent shall not be unreasonably withheld or delayed.</w:t>
      </w:r>
    </w:p>
    <w:p>
      <w:pPr>
        <w:spacing w:after="0" w:line="177" w:lineRule="exact"/>
        <w:rPr>
          <w:sz w:val="20"/>
          <w:szCs w:val="20"/>
          <w:color w:val="auto"/>
        </w:rPr>
      </w:pPr>
    </w:p>
    <w:p>
      <w:pPr>
        <w:jc w:val="both"/>
        <w:ind w:left="640" w:hanging="635"/>
        <w:spacing w:after="0" w:line="248" w:lineRule="auto"/>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u w:val="single" w:color="auto"/>
          <w:color w:val="auto"/>
        </w:rPr>
        <w:t>Limitations</w:t>
      </w:r>
      <w:r>
        <w:rPr>
          <w:rFonts w:ascii="Arial" w:cs="Arial" w:eastAsia="Arial" w:hAnsi="Arial"/>
          <w:sz w:val="18"/>
          <w:szCs w:val="18"/>
          <w:color w:val="auto"/>
        </w:rPr>
        <w:t>. Except in relation to X4’s indemnification obligations set forth in</w:t>
      </w:r>
      <w:r>
        <w:rPr>
          <w:rFonts w:ascii="Arial" w:cs="Arial" w:eastAsia="Arial" w:hAnsi="Arial"/>
          <w:sz w:val="18"/>
          <w:szCs w:val="18"/>
          <w:u w:val="single" w:color="auto"/>
          <w:color w:val="auto"/>
        </w:rPr>
        <w:t xml:space="preserve"> Section 18.1</w:t>
      </w:r>
      <w:r>
        <w:rPr>
          <w:rFonts w:ascii="Arial" w:cs="Arial" w:eastAsia="Arial" w:hAnsi="Arial"/>
          <w:sz w:val="18"/>
          <w:szCs w:val="18"/>
          <w:color w:val="auto"/>
        </w:rPr>
        <w:t>, Licensee’s sole remedies for breach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contract relating to the manufacturing or supply of the Licensed Product by X4 or any of its Affiliates or subcontractors under this Agreement shall be limited to, at X4's option: (i) replacement of Licensed Product; or (ii) refund of the purchase price in respect of which a breach occurred. ALL OTHER LIABILITIES FOR SUCH BREACH OF CONTRACT, EXPRESS OR IMPLIED, CONTRACTUAL OR OTHERWISE, ARE EXCLUDED. X4 SHALL IN NO CIRCUMSTANCES BE LIABLE TO LICENSEE FOR ANY CONSEQUENTIAL DAMAGES OR LOSSES, INCLUDING ANY OTHER LOSS OF PROFIT, SUFFERED BY LICENSEE OR ANY CLAIM MADE AGAINST LICENSEE BY A THIRD PARTY AS A RESULT OF ANY DELAY IN, OR SUSPENSION OR CANCELLATION OF, DELIVERY FOR WHATEVER REASON. FURTHER, X4 SHALL NOT BE LIABLE FOR PRODUCT DEFECTS THAT HAVE BEEN CAUSED SOLELY BY ABNORMAL OR INCORRECT CONDITIONS OF USE, STORAGE PENDING USE, ACCIDENT, MISUSE OR NEGLIGENCE BY THE LICENSEE, ITS EMPLOYEES, SERVANTS AND AGENTS OR BY THE CARRIER AFTER ANY RELEVANT PRODUCT LEAVES X4'S, ITS AFFILIATES' OR SUBCONTRACTORS' FACILITY. X4 MAKES NO WARRANTIES, EXPRESS OR IMPLIED, OTHER THAN THOSE EXPRESSLY MADE HEREIN. ALL OTHER WARRANTIES, EXPRESS OR IMPLIED, INCLUDING, WITHOUT LIMITATION, THE IMPLIED WARRANTIES OF MERCHANTABILITY AND FITNESS FOR A PARTICULAR PURPOSE ARE HEREBY DISCLAIMED BY X4.</w:t>
      </w:r>
    </w:p>
    <w:p>
      <w:pPr>
        <w:spacing w:after="0" w:line="186"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color w:val="auto"/>
        </w:rPr>
        <w:t xml:space="preserve">EXCEPT IN THE CASE OF A BREACH OF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NOTWITHSTANDING ANYTHING TO THE CONTRARY HEREIN, NEITHER PARTY SHALL BE LIABLE FOR ANY INDIRECT, SPECIAL, INCIDENTAL, CONSEQUENTIAL OR EXEMPLARY DAMAGES, WHETHER FORESEEABLE OR NOT, THAT ARE IN ANY WAY RELATED TO THIS AGREEMENT.</w:t>
      </w:r>
    </w:p>
    <w:p>
      <w:pPr>
        <w:spacing w:after="0" w:line="175" w:lineRule="exact"/>
        <w:rPr>
          <w:sz w:val="20"/>
          <w:szCs w:val="20"/>
          <w:color w:val="auto"/>
        </w:rPr>
      </w:pPr>
    </w:p>
    <w:p>
      <w:pPr>
        <w:jc w:val="both"/>
        <w:ind w:left="620" w:hanging="635"/>
        <w:spacing w:after="0" w:line="260" w:lineRule="auto"/>
        <w:tabs>
          <w:tab w:leader="none" w:pos="60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maintain general liability insurance in amounts that are reasonable and customary in the pharmaceutical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industry, provided in no event shall the general liability insurance amounts be less than [***] per occurrence and [***] in the aggregate limit of liability per year. The Parties shall provide written proof of such insurance to each other upon request.</w:t>
      </w:r>
    </w:p>
    <w:p>
      <w:pPr>
        <w:spacing w:after="0" w:line="173" w:lineRule="exact"/>
        <w:rPr>
          <w:sz w:val="20"/>
          <w:szCs w:val="20"/>
          <w:color w:val="auto"/>
        </w:rPr>
      </w:pPr>
    </w:p>
    <w:p>
      <w:pPr>
        <w:ind w:left="440" w:hanging="434"/>
        <w:spacing w:after="0"/>
        <w:tabs>
          <w:tab w:leader="none" w:pos="4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19" w:lineRule="exact"/>
        <w:rPr>
          <w:sz w:val="20"/>
          <w:szCs w:val="20"/>
          <w:color w:val="auto"/>
        </w:rPr>
      </w:pPr>
    </w:p>
    <w:p>
      <w:pPr>
        <w:jc w:val="both"/>
        <w:ind w:left="600" w:hanging="635"/>
        <w:spacing w:after="0" w:line="260" w:lineRule="auto"/>
        <w:tabs>
          <w:tab w:leader="none" w:pos="5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u w:val="single" w:color="auto"/>
          <w:color w:val="auto"/>
        </w:rPr>
        <w:t>Communications</w:t>
      </w:r>
      <w:r>
        <w:rPr>
          <w:rFonts w:ascii="Arial" w:cs="Arial" w:eastAsia="Arial" w:hAnsi="Arial"/>
          <w:sz w:val="18"/>
          <w:szCs w:val="18"/>
          <w:color w:val="auto"/>
        </w:rPr>
        <w:t>. Any notice, information or written communication required by the terms of this Agreement, to be given to any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Parties hereto, shall be given by registered letter prepaid first class post or equivalent, email, or by personal courier delivery and properly addressed to the other Party's address below, or to the last address communicated by the Party using the same procedure: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417830</wp:posOffset>
            </wp:positionV>
            <wp:extent cx="7134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95" w:right="339" w:bottom="1440" w:gutter="0" w:footer="0" w:header="0"/>
        </w:sectPr>
      </w:pPr>
    </w:p>
    <w:bookmarkStart w:id="174" w:name="page175"/>
    <w:bookmarkEnd w:id="174"/>
    <w:p>
      <w:pPr>
        <w:ind w:left="1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0">
                      <a:extLst>
                        <a:ext uri="{28A0092B-C50C-407E-A947-70E740481C1C}"/>
                      </a:extLst>
                    </a:blip>
                    <a:srcRect/>
                    <a:stretch>
                      <a:fillRect/>
                    </a:stretch>
                  </pic:blipFill>
                  <pic:spPr bwMode="auto">
                    <a:xfrm>
                      <a:off x="0" y="0"/>
                      <a:ext cx="7134860" cy="8255"/>
                    </a:xfrm>
                    <a:prstGeom prst="rect">
                      <a:avLst/>
                    </a:prstGeom>
                    <a:noFill/>
                  </pic:spPr>
                </pic:pic>
              </a:graphicData>
            </a:graphic>
          </wp:anchor>
        </w:drawing>
        <w:t>X4 Pharmaceuticals, Inc.</w:t>
      </w:r>
    </w:p>
    <w:p>
      <w:pPr>
        <w:ind w:left="1280"/>
        <w:spacing w:after="0" w:line="221" w:lineRule="auto"/>
        <w:rPr>
          <w:sz w:val="20"/>
          <w:szCs w:val="20"/>
          <w:color w:val="auto"/>
        </w:rPr>
      </w:pPr>
      <w:r>
        <w:rPr>
          <w:rFonts w:ascii="Arial" w:cs="Arial" w:eastAsia="Arial" w:hAnsi="Arial"/>
          <w:sz w:val="18"/>
          <w:szCs w:val="18"/>
          <w:color w:val="auto"/>
        </w:rPr>
        <w:t>61 N Beacon St,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ind w:left="1280"/>
        <w:spacing w:after="0"/>
        <w:rPr>
          <w:sz w:val="20"/>
          <w:szCs w:val="20"/>
          <w:color w:val="auto"/>
        </w:rPr>
      </w:pPr>
      <w:r>
        <w:rPr>
          <w:rFonts w:ascii="Arial" w:cs="Arial" w:eastAsia="Arial" w:hAnsi="Arial"/>
          <w:sz w:val="18"/>
          <w:szCs w:val="18"/>
          <w:color w:val="auto"/>
        </w:rPr>
        <w:t>Boston MA 02134</w:t>
      </w:r>
    </w:p>
    <w:p>
      <w:pPr>
        <w:spacing w:after="0" w:line="228" w:lineRule="exact"/>
        <w:rPr>
          <w:sz w:val="20"/>
          <w:szCs w:val="20"/>
          <w:color w:val="auto"/>
        </w:rPr>
      </w:pPr>
    </w:p>
    <w:p>
      <w:pPr>
        <w:ind w:left="1280"/>
        <w:spacing w:after="0"/>
        <w:tabs>
          <w:tab w:leader="none" w:pos="2200" w:val="left"/>
        </w:tabs>
        <w:rPr>
          <w:sz w:val="20"/>
          <w:szCs w:val="20"/>
          <w:color w:val="auto"/>
        </w:rPr>
      </w:pPr>
      <w:r>
        <w:rPr>
          <w:rFonts w:ascii="Arial" w:cs="Arial" w:eastAsia="Arial" w:hAnsi="Arial"/>
          <w:sz w:val="18"/>
          <w:szCs w:val="18"/>
          <w:color w:val="auto"/>
        </w:rPr>
        <w:t>Attention:</w:t>
        <w:tab/>
        <w:t>[***]</w:t>
      </w:r>
    </w:p>
    <w:p>
      <w:pPr>
        <w:spacing w:after="0" w:line="21" w:lineRule="exact"/>
        <w:rPr>
          <w:sz w:val="20"/>
          <w:szCs w:val="20"/>
          <w:color w:val="auto"/>
        </w:rPr>
      </w:pPr>
    </w:p>
    <w:p>
      <w:pPr>
        <w:ind w:left="1280"/>
        <w:spacing w:after="0"/>
        <w:tabs>
          <w:tab w:leader="none" w:pos="1940" w:val="left"/>
        </w:tabs>
        <w:rPr>
          <w:sz w:val="20"/>
          <w:szCs w:val="20"/>
          <w:color w:val="auto"/>
        </w:rPr>
      </w:pPr>
      <w:r>
        <w:rPr>
          <w:rFonts w:ascii="Arial" w:cs="Arial" w:eastAsia="Arial" w:hAnsi="Arial"/>
          <w:sz w:val="18"/>
          <w:szCs w:val="18"/>
          <w:color w:val="auto"/>
        </w:rPr>
        <w:t>Email:</w:t>
        <w:tab/>
        <w:t>[***]</w:t>
      </w:r>
    </w:p>
    <w:p>
      <w:pPr>
        <w:spacing w:after="0" w:line="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With a copy to the General Counsel at [***]</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Licensee:</w:t>
      </w: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Norgine Pharma UK Limited</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ARC Uxbridge</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Sanderson Road</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Building 1</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Uxbridge, UB8 1DH</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United Kingdom</w:t>
      </w:r>
    </w:p>
    <w:p>
      <w:pPr>
        <w:spacing w:after="0" w:line="228" w:lineRule="exact"/>
        <w:rPr>
          <w:sz w:val="20"/>
          <w:szCs w:val="20"/>
          <w:color w:val="auto"/>
        </w:rPr>
      </w:pPr>
    </w:p>
    <w:p>
      <w:pPr>
        <w:ind w:left="1280"/>
        <w:spacing w:after="0"/>
        <w:tabs>
          <w:tab w:leader="none" w:pos="2200" w:val="left"/>
        </w:tabs>
        <w:rPr>
          <w:sz w:val="20"/>
          <w:szCs w:val="20"/>
          <w:color w:val="auto"/>
        </w:rPr>
      </w:pPr>
      <w:r>
        <w:rPr>
          <w:rFonts w:ascii="Arial" w:cs="Arial" w:eastAsia="Arial" w:hAnsi="Arial"/>
          <w:sz w:val="18"/>
          <w:szCs w:val="18"/>
          <w:color w:val="auto"/>
        </w:rPr>
        <w:t>Attention:</w:t>
        <w:tab/>
        <w:t>[***]</w:t>
      </w:r>
    </w:p>
    <w:p>
      <w:pPr>
        <w:spacing w:after="0" w:line="21" w:lineRule="exact"/>
        <w:rPr>
          <w:sz w:val="20"/>
          <w:szCs w:val="20"/>
          <w:color w:val="auto"/>
        </w:rPr>
      </w:pPr>
    </w:p>
    <w:p>
      <w:pPr>
        <w:ind w:left="1280"/>
        <w:spacing w:after="0"/>
        <w:tabs>
          <w:tab w:leader="none" w:pos="1940" w:val="left"/>
        </w:tabs>
        <w:rPr>
          <w:sz w:val="20"/>
          <w:szCs w:val="20"/>
          <w:color w:val="auto"/>
        </w:rPr>
      </w:pPr>
      <w:r>
        <w:rPr>
          <w:rFonts w:ascii="Arial" w:cs="Arial" w:eastAsia="Arial" w:hAnsi="Arial"/>
          <w:sz w:val="18"/>
          <w:szCs w:val="18"/>
          <w:color w:val="auto"/>
        </w:rPr>
        <w:t>Email:</w:t>
        <w:tab/>
        <w:t>[***]</w:t>
      </w:r>
    </w:p>
    <w:p>
      <w:pPr>
        <w:spacing w:after="0" w:line="2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With a copy to the Chief Legal Officer at [***].</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such notice, information or communication shall be effective as of the date when it duly arrives in the hands of the addressee.</w:t>
      </w:r>
    </w:p>
    <w:p>
      <w:pPr>
        <w:spacing w:after="0" w:line="217" w:lineRule="exact"/>
        <w:rPr>
          <w:sz w:val="20"/>
          <w:szCs w:val="20"/>
          <w:color w:val="auto"/>
        </w:rPr>
      </w:pPr>
    </w:p>
    <w:p>
      <w:pPr>
        <w:jc w:val="both"/>
        <w:ind w:left="600" w:hanging="635"/>
        <w:spacing w:after="0" w:line="249" w:lineRule="auto"/>
        <w:tabs>
          <w:tab w:leader="none" w:pos="58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u w:val="single" w:color="auto"/>
          <w:color w:val="auto"/>
        </w:rPr>
        <w:t>Force Ma</w:t>
      </w:r>
      <w:r>
        <w:rPr>
          <w:rFonts w:ascii="Arial" w:cs="Arial" w:eastAsia="Arial" w:hAnsi="Arial"/>
          <w:sz w:val="18"/>
          <w:szCs w:val="18"/>
          <w:color w:val="auto"/>
        </w:rPr>
        <w:t>j</w:t>
      </w:r>
      <w:r>
        <w:rPr>
          <w:rFonts w:ascii="Arial" w:cs="Arial" w:eastAsia="Arial" w:hAnsi="Arial"/>
          <w:sz w:val="18"/>
          <w:szCs w:val="18"/>
          <w:u w:val="single" w:color="auto"/>
          <w:color w:val="auto"/>
        </w:rPr>
        <w:t>eure</w:t>
      </w:r>
      <w:r>
        <w:rPr>
          <w:rFonts w:ascii="Arial" w:cs="Arial" w:eastAsia="Arial" w:hAnsi="Arial"/>
          <w:sz w:val="18"/>
          <w:szCs w:val="18"/>
          <w:color w:val="auto"/>
        </w:rPr>
        <w:t>. If either Party is prevented from performing any or all of its obligations under this Agreement due to a Force Majeure,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then upon receipt of prompt notification from the affected Party, specifying the nature and extent of the circumstances giving rise to such Force Majeure, the other Party shall, for the period required by the Force Majeure cause, excuse the affected Party from performing the obligations under this Agreement that have been affected by such Force Majeure. If a Force Majeure situation causes the delay of any shipment hereunder for more than [***]months, said shipment may be cancelled by Licensee. Notwithstanding the foregoing, (i) the Parties agree that to the extent their respective obligations are not affected by the Force Majeure event, they will use reasonable endeavours to continue sales of the Licensed Product in the Territory; and (ii) if such a Force Majeure induced failure of performance by the affected Party continues for a period of more than [***]months and such failure frustrates or materially and adversely impacts achievement of the fundamental objectives of the Agreement, then the other Party may terminate this Agreement upon written notice to the affected Party.</w:t>
      </w:r>
    </w:p>
    <w:p>
      <w:pPr>
        <w:spacing w:after="0" w:line="185" w:lineRule="exact"/>
        <w:rPr>
          <w:sz w:val="20"/>
          <w:szCs w:val="20"/>
          <w:color w:val="auto"/>
        </w:rPr>
      </w:pPr>
    </w:p>
    <w:p>
      <w:pPr>
        <w:jc w:val="both"/>
        <w:ind w:left="560" w:hanging="635"/>
        <w:spacing w:after="0" w:line="255" w:lineRule="auto"/>
        <w:tabs>
          <w:tab w:leader="none" w:pos="5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provisions of this Agreement are or become ineffective or if any omission is discovered, the validity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remaining provisions shall not thereby be affected. In place of the ineffective provisions, or for the purpose of rectifying the omission, any invalid provision or omission shall be replaced by the nearest legally possible solution, which best reflects the Parties' intention, taking into consideration the spirit and object of this Agreement, had they considered the point.</w:t>
      </w:r>
    </w:p>
    <w:p>
      <w:pPr>
        <w:spacing w:after="0" w:line="180" w:lineRule="exact"/>
        <w:rPr>
          <w:sz w:val="20"/>
          <w:szCs w:val="20"/>
          <w:color w:val="auto"/>
        </w:rPr>
      </w:pPr>
    </w:p>
    <w:p>
      <w:pPr>
        <w:jc w:val="both"/>
        <w:ind w:left="540" w:hanging="635"/>
        <w:spacing w:after="0" w:line="274" w:lineRule="auto"/>
        <w:tabs>
          <w:tab w:leader="none" w:pos="5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u w:val="single" w:color="auto"/>
          <w:color w:val="auto"/>
        </w:rPr>
        <w:t>Headin</w:t>
      </w:r>
      <w:r>
        <w:rPr>
          <w:rFonts w:ascii="Arial" w:cs="Arial" w:eastAsia="Arial" w:hAnsi="Arial"/>
          <w:sz w:val="18"/>
          <w:szCs w:val="18"/>
          <w:color w:val="auto"/>
        </w:rPr>
        <w:t>gs. The paragraph headings are for convenience only and shall not be deemed to affect in any way the language of the provisions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which they refer.</w:t>
      </w:r>
    </w:p>
    <w:p>
      <w:pPr>
        <w:spacing w:after="0" w:line="163" w:lineRule="exact"/>
        <w:rPr>
          <w:sz w:val="20"/>
          <w:szCs w:val="20"/>
          <w:color w:val="auto"/>
        </w:rPr>
      </w:pPr>
    </w:p>
    <w:p>
      <w:pPr>
        <w:jc w:val="both"/>
        <w:ind w:left="560" w:hanging="635"/>
        <w:spacing w:after="0" w:line="260" w:lineRule="auto"/>
        <w:tabs>
          <w:tab w:leader="none" w:pos="5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u w:val="single" w:color="auto"/>
          <w:color w:val="auto"/>
        </w:rPr>
        <w:t>Entire A</w:t>
      </w:r>
      <w:r>
        <w:rPr>
          <w:rFonts w:ascii="Arial" w:cs="Arial" w:eastAsia="Arial" w:hAnsi="Arial"/>
          <w:sz w:val="18"/>
          <w:szCs w:val="18"/>
          <w:color w:val="auto"/>
        </w:rPr>
        <w:t>g</w:t>
      </w:r>
      <w:r>
        <w:rPr>
          <w:rFonts w:ascii="Arial" w:cs="Arial" w:eastAsia="Arial" w:hAnsi="Arial"/>
          <w:sz w:val="18"/>
          <w:szCs w:val="18"/>
          <w:u w:val="single" w:color="auto"/>
          <w:color w:val="auto"/>
        </w:rPr>
        <w:t>reement; Amendments</w:t>
      </w:r>
      <w:r>
        <w:rPr>
          <w:rFonts w:ascii="Arial" w:cs="Arial" w:eastAsia="Arial" w:hAnsi="Arial"/>
          <w:sz w:val="18"/>
          <w:szCs w:val="18"/>
          <w:color w:val="auto"/>
        </w:rPr>
        <w:t>. This Agreement constitutes the entire agreement between the Parties hereof with respect to its subject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matter and supersedes all prior agreements, arrangements, dealings or writings between the Parties hereof. This Agreement may be amended, or any term hereof modified, only by a written instrument duly executed by both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1348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95" w:right="339" w:bottom="1440" w:gutter="0" w:footer="0" w:header="0"/>
        </w:sectPr>
      </w:pPr>
    </w:p>
    <w:bookmarkStart w:id="175" w:name="page176"/>
    <w:bookmarkEnd w:id="175"/>
    <w:p>
      <w:pPr>
        <w:jc w:val="both"/>
        <w:ind w:left="540" w:hanging="635"/>
        <w:spacing w:after="0" w:line="25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2">
                      <a:extLst>
                        <a:ext uri="{28A0092B-C50C-407E-A947-70E740481C1C}"/>
                      </a:extLst>
                    </a:blip>
                    <a:srcRect/>
                    <a:stretch>
                      <a:fillRect/>
                    </a:stretch>
                  </pic:blipFill>
                  <pic:spPr bwMode="auto">
                    <a:xfrm>
                      <a:off x="0" y="0"/>
                      <a:ext cx="7134860" cy="8255"/>
                    </a:xfrm>
                    <a:prstGeom prst="rect">
                      <a:avLst/>
                    </a:prstGeom>
                    <a:noFill/>
                  </pic:spPr>
                </pic:pic>
              </a:graphicData>
            </a:graphic>
          </wp:anchor>
        </w:drawing>
        <w:t>19.6</w:t>
      </w:r>
      <w:r>
        <w:rPr>
          <w:sz w:val="20"/>
          <w:szCs w:val="20"/>
          <w:color w:val="auto"/>
        </w:rPr>
        <w:tab/>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During the Term hereof the relationship between X4 and Licensee is that of vendor and vendee. Licensee,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agents and employees shall, under no circumstances, be deemed agents or representatives of X4. Neither Licensee nor X4 shall have any right to enter into any contracts or commitments in the name of, or on behalf of, the other to bind the other in any respect whatsoever.</w:t>
      </w:r>
    </w:p>
    <w:p>
      <w:pPr>
        <w:spacing w:after="0" w:line="180" w:lineRule="exact"/>
        <w:rPr>
          <w:sz w:val="20"/>
          <w:szCs w:val="20"/>
          <w:color w:val="auto"/>
        </w:rPr>
      </w:pPr>
    </w:p>
    <w:p>
      <w:pPr>
        <w:jc w:val="both"/>
        <w:ind w:left="580" w:hanging="635"/>
        <w:spacing w:after="0" w:line="274" w:lineRule="auto"/>
        <w:tabs>
          <w:tab w:leader="none" w:pos="56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u w:val="single" w:color="auto"/>
          <w:color w:val="auto"/>
        </w:rPr>
        <w:t>Benefit of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This Agreement enures to the benefit of and is binding upon the respective successors and permitted assigns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Parties.</w:t>
      </w:r>
    </w:p>
    <w:p>
      <w:pPr>
        <w:spacing w:after="0" w:line="163" w:lineRule="exact"/>
        <w:rPr>
          <w:sz w:val="20"/>
          <w:szCs w:val="20"/>
          <w:color w:val="auto"/>
        </w:rPr>
      </w:pPr>
    </w:p>
    <w:p>
      <w:pPr>
        <w:jc w:val="both"/>
        <w:ind w:left="540" w:hanging="635"/>
        <w:spacing w:after="0" w:line="274" w:lineRule="auto"/>
        <w:tabs>
          <w:tab w:leader="none" w:pos="5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The Parties do not confer any rights or remedies upon any person other than the Parties to this Agreement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their respective successors and permitted assigns.</w:t>
      </w:r>
    </w:p>
    <w:p>
      <w:pPr>
        <w:spacing w:after="0" w:line="163" w:lineRule="exact"/>
        <w:rPr>
          <w:sz w:val="20"/>
          <w:szCs w:val="20"/>
          <w:color w:val="auto"/>
        </w:rPr>
      </w:pPr>
    </w:p>
    <w:p>
      <w:pPr>
        <w:jc w:val="both"/>
        <w:ind w:left="560" w:hanging="635"/>
        <w:spacing w:after="0" w:line="260" w:lineRule="auto"/>
        <w:tabs>
          <w:tab w:leader="none" w:pos="54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8"/>
          <w:szCs w:val="18"/>
          <w:u w:val="single" w:color="auto"/>
          <w:color w:val="auto"/>
        </w:rPr>
        <w:t>Official Language</w:t>
      </w:r>
      <w:r>
        <w:rPr>
          <w:rFonts w:ascii="Arial" w:cs="Arial" w:eastAsia="Arial" w:hAnsi="Arial"/>
          <w:sz w:val="18"/>
          <w:szCs w:val="18"/>
          <w:color w:val="auto"/>
        </w:rPr>
        <w:t>. The language of this Agreement and of any documents, papers or proceedings required by or under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English. Any Party requesting or requiring translations of such documents, papers or proceedings shall bear all costs and expenses of such translations.</w:t>
      </w:r>
    </w:p>
    <w:p>
      <w:pPr>
        <w:spacing w:after="0" w:line="175" w:lineRule="exact"/>
        <w:rPr>
          <w:sz w:val="20"/>
          <w:szCs w:val="20"/>
          <w:color w:val="auto"/>
        </w:rPr>
      </w:pPr>
    </w:p>
    <w:p>
      <w:pPr>
        <w:jc w:val="both"/>
        <w:ind w:left="640" w:hanging="635"/>
        <w:spacing w:after="0" w:line="251" w:lineRule="auto"/>
        <w:tabs>
          <w:tab w:leader="none" w:pos="62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counterparts, each of which shall be deemed an original but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taken together, shall constitute one and the same instrument. Signatures delivered by portable document format (".pdf'), facsimile or DocuSign® (or similar electronic signature exchange platform) shall constitute original signatures. The Parties agree that the electronic signatures appearing on this Agreement are the same as handwritten signatures for the purposes of validity, enforceability and admissibility pursuant to the Electronic Signatures in Global and National Commerce (ESIGN) Act of 2000, and Uniform Electronic Transactions Act (UETA) model law, or similar Applicable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568960</wp:posOffset>
            </wp:positionV>
            <wp:extent cx="7134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95" w:right="339" w:bottom="1440" w:gutter="0" w:footer="0" w:header="0"/>
        </w:sectPr>
      </w:pPr>
    </w:p>
    <w:bookmarkStart w:id="176" w:name="page177"/>
    <w:bookmarkEnd w:id="176"/>
    <w:p>
      <w:pPr>
        <w:spacing w:after="0" w:line="27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391795</wp:posOffset>
            </wp:positionV>
            <wp:extent cx="7134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4">
                      <a:extLst>
                        <a:ext uri="{28A0092B-C50C-407E-A947-70E740481C1C}"/>
                      </a:extLst>
                    </a:blip>
                    <a:srcRect/>
                    <a:stretch>
                      <a:fillRect/>
                    </a:stretch>
                  </pic:blipFill>
                  <pic:spPr bwMode="auto">
                    <a:xfrm>
                      <a:off x="0" y="0"/>
                      <a:ext cx="7134860" cy="8255"/>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Agreement by their duly authorised representatives in duplicate, effective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55"/>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4060" w:type="dxa"/>
            <w:vAlign w:val="bottom"/>
            <w:gridSpan w:val="3"/>
          </w:tcPr>
          <w:p>
            <w:pPr>
              <w:spacing w:after="0"/>
              <w:rPr>
                <w:sz w:val="20"/>
                <w:szCs w:val="20"/>
                <w:color w:val="auto"/>
              </w:rPr>
            </w:pPr>
            <w:r>
              <w:rPr>
                <w:rFonts w:ascii="Arial" w:cs="Arial" w:eastAsia="Arial" w:hAnsi="Arial"/>
                <w:sz w:val="18"/>
                <w:szCs w:val="18"/>
                <w:color w:val="auto"/>
              </w:rPr>
              <w:t>__/s/ [***]_______</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88"/>
        </w:trPr>
        <w:tc>
          <w:tcPr>
            <w:tcW w:w="4060" w:type="dxa"/>
            <w:vAlign w:val="bottom"/>
            <w:gridSpan w:val="3"/>
          </w:tcPr>
          <w:p>
            <w:pPr>
              <w:spacing w:after="0"/>
              <w:rPr>
                <w:sz w:val="20"/>
                <w:szCs w:val="20"/>
                <w:color w:val="auto"/>
              </w:rPr>
            </w:pPr>
            <w:r>
              <w:rPr>
                <w:rFonts w:ascii="Arial" w:cs="Arial" w:eastAsia="Arial" w:hAnsi="Arial"/>
                <w:sz w:val="18"/>
                <w:szCs w:val="18"/>
                <w:color w:val="auto"/>
              </w:rPr>
              <w:t>for and on behalf of</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X4 PHARMACEUTICALS, INC.</w:t>
            </w:r>
          </w:p>
        </w:tc>
        <w:tc>
          <w:tcPr>
            <w:tcW w:w="16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6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tc>
        <w:tc>
          <w:tcPr>
            <w:tcW w:w="7080" w:type="dxa"/>
            <w:vAlign w:val="bottom"/>
          </w:tcPr>
          <w:p>
            <w:pPr>
              <w:jc w:val="right"/>
              <w:ind w:right="5412"/>
              <w:spacing w:after="0"/>
              <w:rPr>
                <w:sz w:val="20"/>
                <w:szCs w:val="20"/>
                <w:color w:val="auto"/>
              </w:rPr>
            </w:pPr>
            <w:r>
              <w:rPr>
                <w:rFonts w:ascii="Arial" w:cs="Arial" w:eastAsia="Arial" w:hAnsi="Arial"/>
                <w:sz w:val="18"/>
                <w:szCs w:val="18"/>
                <w:color w:val="auto"/>
              </w:rPr>
              <w:t>)</w:t>
            </w:r>
          </w:p>
        </w:tc>
      </w:tr>
      <w:tr>
        <w:trPr>
          <w:trHeight w:val="212"/>
        </w:trPr>
        <w:tc>
          <w:tcPr>
            <w:tcW w:w="4160" w:type="dxa"/>
            <w:vAlign w:val="bottom"/>
            <w:gridSpan w:val="3"/>
          </w:tcPr>
          <w:p>
            <w:pPr>
              <w:ind w:left="80"/>
              <w:spacing w:after="0"/>
              <w:rPr>
                <w:sz w:val="20"/>
                <w:szCs w:val="20"/>
                <w:color w:val="auto"/>
              </w:rPr>
            </w:pPr>
            <w:r>
              <w:rPr>
                <w:rFonts w:ascii="Arial" w:cs="Arial" w:eastAsia="Arial" w:hAnsi="Arial"/>
                <w:sz w:val="18"/>
                <w:szCs w:val="18"/>
                <w:color w:val="auto"/>
              </w:rPr>
              <w:t>__/s/ [***]_</w:t>
            </w:r>
          </w:p>
        </w:tc>
        <w:tc>
          <w:tcPr>
            <w:tcW w:w="7080" w:type="dxa"/>
            <w:vAlign w:val="bottom"/>
          </w:tcPr>
          <w:p>
            <w:pPr>
              <w:jc w:val="right"/>
              <w:ind w:right="5412"/>
              <w:spacing w:after="0"/>
              <w:rPr>
                <w:sz w:val="20"/>
                <w:szCs w:val="20"/>
                <w:color w:val="auto"/>
              </w:rPr>
            </w:pPr>
            <w:r>
              <w:rPr>
                <w:rFonts w:ascii="Arial" w:cs="Arial" w:eastAsia="Arial" w:hAnsi="Arial"/>
                <w:sz w:val="18"/>
                <w:szCs w:val="18"/>
                <w:color w:val="auto"/>
              </w:rPr>
              <w:t>)</w:t>
            </w:r>
          </w:p>
        </w:tc>
      </w:tr>
      <w:tr>
        <w:trPr>
          <w:trHeight w:val="20"/>
        </w:trPr>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88"/>
        </w:trPr>
        <w:tc>
          <w:tcPr>
            <w:tcW w:w="4160" w:type="dxa"/>
            <w:vAlign w:val="bottom"/>
            <w:gridSpan w:val="3"/>
          </w:tcPr>
          <w:p>
            <w:pPr>
              <w:ind w:left="80"/>
              <w:spacing w:after="0"/>
              <w:rPr>
                <w:sz w:val="20"/>
                <w:szCs w:val="20"/>
                <w:color w:val="auto"/>
              </w:rPr>
            </w:pPr>
            <w:r>
              <w:rPr>
                <w:rFonts w:ascii="Arial" w:cs="Arial" w:eastAsia="Arial" w:hAnsi="Arial"/>
                <w:sz w:val="18"/>
                <w:szCs w:val="18"/>
                <w:color w:val="auto"/>
              </w:rPr>
              <w:t>for and on behalf of</w:t>
            </w:r>
          </w:p>
        </w:tc>
        <w:tc>
          <w:tcPr>
            <w:tcW w:w="7080" w:type="dxa"/>
            <w:vAlign w:val="bottom"/>
          </w:tcPr>
          <w:p>
            <w:pPr>
              <w:jc w:val="right"/>
              <w:ind w:right="5412"/>
              <w:spacing w:after="0"/>
              <w:rPr>
                <w:sz w:val="20"/>
                <w:szCs w:val="20"/>
                <w:color w:val="auto"/>
              </w:rPr>
            </w:pPr>
            <w:r>
              <w:rPr>
                <w:rFonts w:ascii="Arial" w:cs="Arial" w:eastAsia="Arial" w:hAnsi="Arial"/>
                <w:sz w:val="18"/>
                <w:szCs w:val="18"/>
                <w:color w:val="auto"/>
              </w:rPr>
              <w:t>)</w:t>
            </w:r>
          </w:p>
        </w:tc>
      </w:tr>
      <w:tr>
        <w:trPr>
          <w:trHeight w:val="262"/>
        </w:trPr>
        <w:tc>
          <w:tcPr>
            <w:tcW w:w="4160" w:type="dxa"/>
            <w:vAlign w:val="bottom"/>
            <w:gridSpan w:val="3"/>
          </w:tcPr>
          <w:p>
            <w:pPr>
              <w:ind w:left="80"/>
              <w:spacing w:after="0"/>
              <w:rPr>
                <w:sz w:val="20"/>
                <w:szCs w:val="20"/>
                <w:color w:val="auto"/>
              </w:rPr>
            </w:pPr>
            <w:r>
              <w:rPr>
                <w:rFonts w:ascii="Arial" w:cs="Arial" w:eastAsia="Arial" w:hAnsi="Arial"/>
                <w:sz w:val="18"/>
                <w:szCs w:val="18"/>
                <w:b w:val="1"/>
                <w:bCs w:val="1"/>
                <w:color w:val="auto"/>
              </w:rPr>
              <w:t>NORGINE PHARMA UK LIMITED</w:t>
            </w:r>
          </w:p>
        </w:tc>
        <w:tc>
          <w:tcPr>
            <w:tcW w:w="7080" w:type="dxa"/>
            <w:vAlign w:val="bottom"/>
          </w:tcPr>
          <w:p>
            <w:pPr>
              <w:spacing w:after="0"/>
              <w:rPr>
                <w:sz w:val="22"/>
                <w:szCs w:val="22"/>
                <w:color w:val="auto"/>
              </w:rPr>
            </w:pPr>
          </w:p>
        </w:tc>
      </w:tr>
      <w:tr>
        <w:trPr>
          <w:trHeight w:val="265"/>
        </w:trPr>
        <w:tc>
          <w:tcPr>
            <w:tcW w:w="260" w:type="dxa"/>
            <w:vAlign w:val="bottom"/>
            <w:tcBorders>
              <w:bottom w:val="single" w:sz="8" w:color="ED7D31"/>
            </w:tcBorders>
          </w:tcPr>
          <w:p>
            <w:pPr>
              <w:spacing w:after="0"/>
              <w:rPr>
                <w:sz w:val="23"/>
                <w:szCs w:val="23"/>
                <w:color w:val="auto"/>
              </w:rPr>
            </w:pPr>
          </w:p>
        </w:tc>
        <w:tc>
          <w:tcPr>
            <w:tcW w:w="540" w:type="dxa"/>
            <w:vAlign w:val="bottom"/>
            <w:tcBorders>
              <w:bottom w:val="single" w:sz="8" w:color="ED7D31"/>
            </w:tcBorders>
          </w:tcPr>
          <w:p>
            <w:pPr>
              <w:spacing w:after="0"/>
              <w:rPr>
                <w:sz w:val="23"/>
                <w:szCs w:val="23"/>
                <w:color w:val="auto"/>
              </w:rPr>
            </w:pPr>
          </w:p>
        </w:tc>
        <w:tc>
          <w:tcPr>
            <w:tcW w:w="3360" w:type="dxa"/>
            <w:vAlign w:val="bottom"/>
            <w:tcBorders>
              <w:bottom w:val="single" w:sz="8" w:color="ED7D31"/>
            </w:tcBorders>
          </w:tcPr>
          <w:p>
            <w:pPr>
              <w:spacing w:after="0"/>
              <w:rPr>
                <w:sz w:val="23"/>
                <w:szCs w:val="23"/>
                <w:color w:val="auto"/>
              </w:rPr>
            </w:pPr>
          </w:p>
        </w:tc>
        <w:tc>
          <w:tcPr>
            <w:tcW w:w="7080" w:type="dxa"/>
            <w:vAlign w:val="bottom"/>
            <w:tcBorders>
              <w:bottom w:val="single" w:sz="8" w:color="ED7D31"/>
            </w:tcBorders>
          </w:tcPr>
          <w:p>
            <w:pPr>
              <w:spacing w:after="0"/>
              <w:rPr>
                <w:sz w:val="23"/>
                <w:szCs w:val="23"/>
                <w:color w:val="auto"/>
              </w:rPr>
            </w:pPr>
          </w:p>
        </w:tc>
      </w:tr>
      <w:tr>
        <w:trPr>
          <w:trHeight w:val="235"/>
        </w:trPr>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080" w:type="dxa"/>
            <w:vAlign w:val="bottom"/>
          </w:tcPr>
          <w:p>
            <w:pPr>
              <w:jc w:val="right"/>
              <w:ind w:right="5432"/>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40"/>
          </w:cols>
          <w:pgMar w:left="320" w:top="1393" w:right="3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391795</wp:posOffset>
            </wp:positionV>
            <wp:extent cx="7134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2"/>
        </w:trPr>
        <w:tc>
          <w:tcPr>
            <w:tcW w:w="1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8"/>
              </w:rPr>
              <w:t>APPENDIX A</w:t>
            </w:r>
          </w:p>
        </w:tc>
        <w:tc>
          <w:tcPr>
            <w:tcW w:w="3740" w:type="dxa"/>
            <w:vAlign w:val="bottom"/>
          </w:tcPr>
          <w:p>
            <w:pPr>
              <w:spacing w:after="0"/>
              <w:rPr>
                <w:sz w:val="18"/>
                <w:szCs w:val="18"/>
                <w:color w:val="auto"/>
              </w:rPr>
            </w:pPr>
          </w:p>
        </w:tc>
      </w:tr>
      <w:tr>
        <w:trPr>
          <w:trHeight w:val="244"/>
        </w:trPr>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7"/>
              </w:rPr>
              <w:t>FINANCIAL MATTERS</w:t>
            </w:r>
          </w:p>
        </w:tc>
        <w:tc>
          <w:tcPr>
            <w:tcW w:w="3740" w:type="dxa"/>
            <w:vAlign w:val="bottom"/>
          </w:tcPr>
          <w:p>
            <w:pPr>
              <w:spacing w:after="0"/>
              <w:rPr>
                <w:sz w:val="21"/>
                <w:szCs w:val="21"/>
                <w:color w:val="auto"/>
              </w:rPr>
            </w:pPr>
          </w:p>
        </w:tc>
      </w:tr>
      <w:tr>
        <w:trPr>
          <w:trHeight w:val="371"/>
        </w:trPr>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Up Front Fee </w:t>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w:t>
            </w:r>
          </w:p>
        </w:tc>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47"/>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€28,500,000</w:t>
            </w:r>
          </w:p>
        </w:tc>
        <w:tc>
          <w:tcPr>
            <w:tcW w:w="2400" w:type="dxa"/>
            <w:vAlign w:val="bottom"/>
            <w:gridSpan w:val="2"/>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81"/>
        </w:trPr>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w:t>
            </w:r>
          </w:p>
        </w:tc>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58"/>
        </w:trPr>
        <w:tc>
          <w:tcPr>
            <w:tcW w:w="1900" w:type="dxa"/>
            <w:vAlign w:val="bottom"/>
            <w:tcBorders>
              <w:top w:val="single" w:sz="8" w:color="auto"/>
              <w:bottom w:val="single" w:sz="8" w:color="auto"/>
            </w:tcBorders>
            <w:gridSpan w:val="2"/>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tcPr>
          <w:p>
            <w:pPr>
              <w:spacing w:after="0"/>
              <w:rPr>
                <w:sz w:val="22"/>
                <w:szCs w:val="22"/>
                <w:color w:val="auto"/>
              </w:rPr>
            </w:pPr>
          </w:p>
        </w:tc>
      </w:tr>
      <w:tr>
        <w:trPr>
          <w:trHeight w:val="218"/>
        </w:trPr>
        <w:tc>
          <w:tcPr>
            <w:tcW w:w="37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Regulatory Milestones</w:t>
            </w: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218"/>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Regulatory Milestone</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i w:val="1"/>
                <w:iCs w:val="1"/>
                <w:color w:val="auto"/>
              </w:rPr>
              <w:t>Regulatory Milestone Details</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Milestone Payment</w:t>
            </w:r>
          </w:p>
        </w:tc>
      </w:tr>
      <w:tr>
        <w:trPr>
          <w:trHeight w:val="219"/>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Acceptance for review by EMA</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8"/>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Approval in WHIM syndrome</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8"/>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Approval in WHIM syndrome</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8"/>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Approval in chronic neutropenia</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8"/>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Approval in additional indication</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178"/>
        </w:trPr>
        <w:tc>
          <w:tcPr>
            <w:tcW w:w="3760" w:type="dxa"/>
            <w:vAlign w:val="bottom"/>
            <w:tcBorders>
              <w:left w:val="single" w:sz="8" w:color="auto"/>
              <w:right w:val="single" w:sz="8" w:color="auto"/>
            </w:tcBorders>
            <w:gridSpan w:val="3"/>
          </w:tcPr>
          <w:p>
            <w:pPr>
              <w:ind w:left="40"/>
              <w:spacing w:after="0" w:line="178" w:lineRule="exact"/>
              <w:rPr>
                <w:sz w:val="20"/>
                <w:szCs w:val="20"/>
                <w:color w:val="auto"/>
              </w:rPr>
            </w:pPr>
            <w:r>
              <w:rPr>
                <w:rFonts w:ascii="Arial" w:cs="Arial" w:eastAsia="Arial" w:hAnsi="Arial"/>
                <w:sz w:val="18"/>
                <w:szCs w:val="18"/>
                <w:color w:val="auto"/>
              </w:rPr>
              <w:t>Pricing &amp; Reimbursement in WHIM syndrome</w:t>
            </w:r>
          </w:p>
        </w:tc>
        <w:tc>
          <w:tcPr>
            <w:tcW w:w="3760" w:type="dxa"/>
            <w:vAlign w:val="bottom"/>
            <w:tcBorders>
              <w:right w:val="single" w:sz="8" w:color="auto"/>
            </w:tcBorders>
          </w:tcPr>
          <w:p>
            <w:pPr>
              <w:ind w:left="20"/>
              <w:spacing w:after="0" w:line="178" w:lineRule="exact"/>
              <w:rPr>
                <w:sz w:val="20"/>
                <w:szCs w:val="20"/>
                <w:color w:val="auto"/>
              </w:rPr>
            </w:pPr>
            <w:r>
              <w:rPr>
                <w:rFonts w:ascii="Arial" w:cs="Arial" w:eastAsia="Arial" w:hAnsi="Arial"/>
                <w:sz w:val="20"/>
                <w:szCs w:val="20"/>
                <w:color w:val="auto"/>
              </w:rPr>
              <w:t>[***]</w:t>
            </w:r>
          </w:p>
        </w:tc>
        <w:tc>
          <w:tcPr>
            <w:tcW w:w="37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rPr>
              <w:t>[***]</w:t>
            </w:r>
          </w:p>
        </w:tc>
      </w:tr>
      <w:tr>
        <w:trPr>
          <w:trHeight w:val="226"/>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only</w:t>
            </w:r>
          </w:p>
        </w:tc>
        <w:tc>
          <w:tcPr>
            <w:tcW w:w="376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166"/>
        </w:trPr>
        <w:tc>
          <w:tcPr>
            <w:tcW w:w="3760" w:type="dxa"/>
            <w:vAlign w:val="bottom"/>
            <w:tcBorders>
              <w:left w:val="single" w:sz="8" w:color="auto"/>
              <w:right w:val="single" w:sz="8" w:color="auto"/>
            </w:tcBorders>
            <w:gridSpan w:val="3"/>
          </w:tcPr>
          <w:p>
            <w:pPr>
              <w:ind w:left="40"/>
              <w:spacing w:after="0" w:line="165" w:lineRule="exact"/>
              <w:rPr>
                <w:sz w:val="20"/>
                <w:szCs w:val="20"/>
                <w:color w:val="auto"/>
              </w:rPr>
            </w:pPr>
            <w:r>
              <w:rPr>
                <w:rFonts w:ascii="Arial" w:cs="Arial" w:eastAsia="Arial" w:hAnsi="Arial"/>
                <w:sz w:val="18"/>
                <w:szCs w:val="18"/>
                <w:color w:val="auto"/>
              </w:rPr>
              <w:t>Pricing &amp; Reimbursement in WHIM syndrome</w:t>
            </w:r>
          </w:p>
        </w:tc>
        <w:tc>
          <w:tcPr>
            <w:tcW w:w="376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8"/>
                <w:szCs w:val="18"/>
                <w:color w:val="auto"/>
              </w:rPr>
              <w:t>[***]</w:t>
            </w:r>
          </w:p>
        </w:tc>
        <w:tc>
          <w:tcPr>
            <w:tcW w:w="3740" w:type="dxa"/>
            <w:vAlign w:val="bottom"/>
            <w:tcBorders>
              <w:right w:val="single" w:sz="8" w:color="auto"/>
            </w:tcBorders>
          </w:tcPr>
          <w:p>
            <w:pPr>
              <w:spacing w:after="0" w:line="165" w:lineRule="exact"/>
              <w:rPr>
                <w:sz w:val="20"/>
                <w:szCs w:val="20"/>
                <w:color w:val="auto"/>
              </w:rPr>
            </w:pPr>
            <w:r>
              <w:rPr>
                <w:rFonts w:ascii="Arial" w:cs="Arial" w:eastAsia="Arial" w:hAnsi="Arial"/>
                <w:sz w:val="18"/>
                <w:szCs w:val="18"/>
                <w:color w:val="auto"/>
              </w:rPr>
              <w:t>[***]</w:t>
            </w:r>
          </w:p>
        </w:tc>
      </w:tr>
      <w:tr>
        <w:trPr>
          <w:trHeight w:val="235"/>
        </w:trPr>
        <w:tc>
          <w:tcPr>
            <w:tcW w:w="3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and chronic neutropenia combined</w:t>
            </w:r>
          </w:p>
        </w:tc>
        <w:tc>
          <w:tcPr>
            <w:tcW w:w="37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r>
      <w:tr>
        <w:trPr>
          <w:trHeight w:val="222"/>
        </w:trPr>
        <w:tc>
          <w:tcPr>
            <w:tcW w:w="37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Commercial Milestones</w:t>
            </w: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218"/>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i w:val="1"/>
                <w:iCs w:val="1"/>
                <w:color w:val="auto"/>
              </w:rPr>
              <w:t>Commercial Milestone</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Commercial Milestone Details</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Milestone Payment</w:t>
            </w:r>
          </w:p>
        </w:tc>
      </w:tr>
      <w:tr>
        <w:trPr>
          <w:trHeight w:val="218"/>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w w:val="99"/>
              </w:rPr>
              <w:t>Commercial Milestone in Chronic Neutropenia</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9"/>
        </w:trPr>
        <w:tc>
          <w:tcPr>
            <w:tcW w:w="376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i w:val="1"/>
                <w:iCs w:val="1"/>
                <w:color w:val="auto"/>
              </w:rPr>
              <w:t>Sales Milestones</w:t>
            </w:r>
          </w:p>
        </w:tc>
        <w:tc>
          <w:tcPr>
            <w:tcW w:w="376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218"/>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i w:val="1"/>
                <w:iCs w:val="1"/>
                <w:color w:val="auto"/>
              </w:rPr>
              <w:t>Sales Milestone</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Sales Milestone Details</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i w:val="1"/>
                <w:iCs w:val="1"/>
                <w:color w:val="auto"/>
              </w:rPr>
              <w:t>Milestone Payment</w:t>
            </w:r>
          </w:p>
        </w:tc>
      </w:tr>
      <w:tr>
        <w:trPr>
          <w:trHeight w:val="218"/>
        </w:trPr>
        <w:tc>
          <w:tcPr>
            <w:tcW w:w="376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Sales Milestone 1</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71"/>
        </w:trPr>
        <w:tc>
          <w:tcPr>
            <w:tcW w:w="1360" w:type="dxa"/>
            <w:vAlign w:val="bottom"/>
            <w:tcBorders>
              <w:bottom w:val="single" w:sz="8" w:color="ED7D31"/>
            </w:tcBorders>
          </w:tcPr>
          <w:p>
            <w:pPr>
              <w:spacing w:after="0"/>
              <w:rPr>
                <w:sz w:val="23"/>
                <w:szCs w:val="23"/>
                <w:color w:val="auto"/>
              </w:rPr>
            </w:pPr>
          </w:p>
        </w:tc>
        <w:tc>
          <w:tcPr>
            <w:tcW w:w="540" w:type="dxa"/>
            <w:vAlign w:val="bottom"/>
            <w:tcBorders>
              <w:bottom w:val="single" w:sz="8" w:color="ED7D31"/>
            </w:tcBorders>
          </w:tcPr>
          <w:p>
            <w:pPr>
              <w:spacing w:after="0"/>
              <w:rPr>
                <w:sz w:val="23"/>
                <w:szCs w:val="23"/>
                <w:color w:val="auto"/>
              </w:rPr>
            </w:pPr>
          </w:p>
        </w:tc>
        <w:tc>
          <w:tcPr>
            <w:tcW w:w="1860" w:type="dxa"/>
            <w:vAlign w:val="bottom"/>
            <w:tcBorders>
              <w:bottom w:val="single" w:sz="8" w:color="ED7D31"/>
            </w:tcBorders>
          </w:tcPr>
          <w:p>
            <w:pPr>
              <w:spacing w:after="0"/>
              <w:rPr>
                <w:sz w:val="23"/>
                <w:szCs w:val="23"/>
                <w:color w:val="auto"/>
              </w:rPr>
            </w:pPr>
          </w:p>
        </w:tc>
        <w:tc>
          <w:tcPr>
            <w:tcW w:w="3760" w:type="dxa"/>
            <w:vAlign w:val="bottom"/>
            <w:tcBorders>
              <w:bottom w:val="single" w:sz="8" w:color="ED7D31"/>
            </w:tcBorders>
          </w:tcPr>
          <w:p>
            <w:pPr>
              <w:spacing w:after="0"/>
              <w:rPr>
                <w:sz w:val="23"/>
                <w:szCs w:val="23"/>
                <w:color w:val="auto"/>
              </w:rPr>
            </w:pPr>
          </w:p>
        </w:tc>
        <w:tc>
          <w:tcPr>
            <w:tcW w:w="3740" w:type="dxa"/>
            <w:vAlign w:val="bottom"/>
            <w:tcBorders>
              <w:bottom w:val="single" w:sz="8" w:color="ED7D31"/>
            </w:tcBorders>
          </w:tcPr>
          <w:p>
            <w:pPr>
              <w:spacing w:after="0"/>
              <w:rPr>
                <w:sz w:val="23"/>
                <w:szCs w:val="23"/>
                <w:color w:val="auto"/>
              </w:rPr>
            </w:pPr>
          </w:p>
        </w:tc>
      </w:tr>
      <w:tr>
        <w:trPr>
          <w:trHeight w:val="235"/>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3740" w:type="dxa"/>
            <w:vAlign w:val="bottom"/>
          </w:tcPr>
          <w:p>
            <w:pPr>
              <w:spacing w:after="0"/>
              <w:rPr>
                <w:sz w:val="20"/>
                <w:szCs w:val="20"/>
                <w:color w:val="auto"/>
              </w:rPr>
            </w:pPr>
          </w:p>
        </w:tc>
      </w:tr>
    </w:tbl>
    <w:p>
      <w:pPr>
        <w:sectPr>
          <w:pgSz w:w="11900" w:h="16838" w:orient="portrait"/>
          <w:cols w:equalWidth="0" w:num="1">
            <w:col w:w="11260"/>
          </w:cols>
          <w:pgMar w:left="320" w:top="1393" w:right="319" w:bottom="1440"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8"/>
        </w:trPr>
        <w:tc>
          <w:tcPr>
            <w:tcW w:w="3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Sales Milestone 2</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top w:val="single" w:sz="8" w:color="auto"/>
              <w:bottom w:val="single" w:sz="8" w:color="auto"/>
              <w:right w:val="single" w:sz="8" w:color="auto"/>
            </w:tcBorders>
          </w:tcPr>
          <w:p>
            <w:pPr>
              <w:jc w:val="right"/>
              <w:ind w:right="3352"/>
              <w:spacing w:after="0"/>
              <w:rPr>
                <w:sz w:val="20"/>
                <w:szCs w:val="20"/>
                <w:color w:val="auto"/>
              </w:rPr>
            </w:pPr>
            <w:r>
              <w:rPr>
                <w:rFonts w:ascii="Arial" w:cs="Arial" w:eastAsia="Arial" w:hAnsi="Arial"/>
                <w:sz w:val="18"/>
                <w:szCs w:val="18"/>
                <w:color w:val="auto"/>
                <w:w w:val="90"/>
              </w:rPr>
              <w:t>[***]</w:t>
            </w:r>
          </w:p>
        </w:tc>
      </w:tr>
      <w:tr>
        <w:trPr>
          <w:trHeight w:val="218"/>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Sales Milestone 3</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jc w:val="right"/>
              <w:ind w:right="3352"/>
              <w:spacing w:after="0"/>
              <w:rPr>
                <w:sz w:val="20"/>
                <w:szCs w:val="20"/>
                <w:color w:val="auto"/>
              </w:rPr>
            </w:pPr>
            <w:r>
              <w:rPr>
                <w:rFonts w:ascii="Arial" w:cs="Arial" w:eastAsia="Arial" w:hAnsi="Arial"/>
                <w:sz w:val="18"/>
                <w:szCs w:val="18"/>
                <w:color w:val="auto"/>
                <w:w w:val="90"/>
              </w:rPr>
              <w:t>[***]</w:t>
            </w:r>
          </w:p>
        </w:tc>
      </w:tr>
      <w:tr>
        <w:trPr>
          <w:trHeight w:val="218"/>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Sales Milestone 4</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jc w:val="right"/>
              <w:ind w:right="3352"/>
              <w:spacing w:after="0"/>
              <w:rPr>
                <w:sz w:val="20"/>
                <w:szCs w:val="20"/>
                <w:color w:val="auto"/>
              </w:rPr>
            </w:pPr>
            <w:r>
              <w:rPr>
                <w:rFonts w:ascii="Arial" w:cs="Arial" w:eastAsia="Arial" w:hAnsi="Arial"/>
                <w:sz w:val="18"/>
                <w:szCs w:val="18"/>
                <w:color w:val="auto"/>
                <w:w w:val="90"/>
              </w:rPr>
              <w:t>[***]</w:t>
            </w:r>
          </w:p>
        </w:tc>
      </w:tr>
      <w:tr>
        <w:trPr>
          <w:trHeight w:val="218"/>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Sales Milestone 5</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740" w:type="dxa"/>
            <w:vAlign w:val="bottom"/>
            <w:tcBorders>
              <w:bottom w:val="single" w:sz="8" w:color="auto"/>
              <w:right w:val="single" w:sz="8" w:color="auto"/>
            </w:tcBorders>
          </w:tcPr>
          <w:p>
            <w:pPr>
              <w:jc w:val="right"/>
              <w:ind w:right="3352"/>
              <w:spacing w:after="0"/>
              <w:rPr>
                <w:sz w:val="20"/>
                <w:szCs w:val="20"/>
                <w:color w:val="auto"/>
              </w:rPr>
            </w:pPr>
            <w:r>
              <w:rPr>
                <w:rFonts w:ascii="Arial" w:cs="Arial" w:eastAsia="Arial" w:hAnsi="Arial"/>
                <w:sz w:val="18"/>
                <w:szCs w:val="18"/>
                <w:color w:val="auto"/>
                <w:w w:val="90"/>
              </w:rPr>
              <w:t>[***]</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Transfer Price (€):</w:t>
      </w:r>
    </w:p>
    <w:p>
      <w:pPr>
        <w:spacing w:after="0" w:line="217"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Transfer Price shall be calculated on a calendar year and per unit basis. The Transfer Price in a given year is ***. X4 shall use Commercially Reasonable Efforts to realize cost savings and reductions in the Transfer Price.</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The anticipated CMO Costs to be used in the calculation of the Transfer Price for the first year of the Agreement will be in the range of $[***]-$[***] per unit of brite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this Agreement:</w:t>
      </w:r>
    </w:p>
    <w:p>
      <w:pPr>
        <w:spacing w:after="0" w:line="215" w:lineRule="exact"/>
        <w:rPr>
          <w:sz w:val="20"/>
          <w:szCs w:val="20"/>
          <w:color w:val="auto"/>
        </w:rPr>
      </w:pPr>
    </w:p>
    <w:p>
      <w:pPr>
        <w:jc w:val="both"/>
        <w:ind w:left="640" w:right="20" w:hanging="21"/>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means the equivalent of the work of one (1) full-time X4 or X4 Affiliate employee’s work performing activities to secure the production of Licensed Product. Overtime, and work on weekends, holidays and the like will not be counted with any multiplier (e.g., time-and-a-half or double time) toward the number of hours that are used to calculate the FTE contribution, and such overtime work will not be considered at all for any employees paid on a salaried basis. One FTE may constitute work performed by an individual whose time is dedicated solely to Licensed Product production, or may comprise the efforts of several individuals, each of whom dedicates only part of his or her time to Licensed Product production. In no event shall a single individual account for more than one full FTE (i.e., 1.0 FTE) in any calendar year, whether dedicated solely to activities under this Agreement or in part to activities under this Agreement and in part to activities outside of this Agreement.</w:t>
      </w:r>
    </w:p>
    <w:p>
      <w:pPr>
        <w:spacing w:after="0" w:line="183" w:lineRule="exact"/>
        <w:rPr>
          <w:sz w:val="20"/>
          <w:szCs w:val="20"/>
          <w:color w:val="auto"/>
        </w:rPr>
      </w:pPr>
    </w:p>
    <w:p>
      <w:pPr>
        <w:jc w:val="both"/>
        <w:ind w:left="640" w:right="20" w:hanging="11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USD [***]per FTE per calendar year. The FTE Rate is assumed to be a fully burdened rate and includes (a) costs of salaries, wages, bonuses, commissions, benefits, profit sharing, stock option grants and other similar costs; (b) travel, meals and entertainment, training, recruiting, relocation, operating supplies and equipment and other disposable goods to the extent required for the performance of the applicable activities under this Agreement; and (c) other overhead, including costs and expenses for information technology, human resources, finance, legal and general administration, capped at [***]of the FTE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396240</wp:posOffset>
            </wp:positionV>
            <wp:extent cx="7134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320" w:top="1418" w:right="319" w:bottom="1440" w:gutter="0" w:footer="0" w:header="0"/>
        </w:sectPr>
      </w:pPr>
    </w:p>
    <w:bookmarkStart w:id="179" w:name="page180"/>
    <w:bookmarkEnd w:id="179"/>
    <w:p>
      <w:pPr>
        <w:jc w:val="both"/>
        <w:ind w:right="20"/>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8">
                      <a:extLst>
                        <a:ext uri="{28A0092B-C50C-407E-A947-70E740481C1C}"/>
                      </a:extLst>
                    </a:blip>
                    <a:srcRect/>
                    <a:stretch>
                      <a:fillRect/>
                    </a:stretch>
                  </pic:blipFill>
                  <pic:spPr bwMode="auto">
                    <a:xfrm>
                      <a:off x="0" y="0"/>
                      <a:ext cx="7134860" cy="8255"/>
                    </a:xfrm>
                    <a:prstGeom prst="rect">
                      <a:avLst/>
                    </a:prstGeom>
                    <a:noFill/>
                  </pic:spPr>
                </pic:pic>
              </a:graphicData>
            </a:graphic>
          </wp:anchor>
        </w:drawing>
        <w:t>The FTE Rate shall be adjusted on an annual basis, effective on or after January 1 of each calendar year of this Agreement, to reflect an increase of the actual increases in components of the FTE Rate.</w:t>
      </w:r>
    </w:p>
    <w:p>
      <w:pPr>
        <w:spacing w:after="0" w:line="16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Prior to the meeting of the JSC in either (i) October during the first year of the Initial Term (when the JSC is meeting every two months); or (ii) the final Calendar Quarter in any subsequent year (when the JSC is meeting quarterly), X4 shall notify Licensee of any planned increase or decrease of the Transfer Price based on any increase or decrease of the CMO Costs (such notification to include sufficient details and supporting documentation in respect of the increase or decrease in CMO Costs) that shall apply for Licensed Product for which firm orders are placed in the next calendar year, provided the Parties shall discuss in good faith any increase of the Transfer Price of greater than [***]per unit of Licensed Product for a calendar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 (€):</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5640" w:type="dxa"/>
            <w:vAlign w:val="bottom"/>
            <w:tcBorders>
              <w:top w:val="single" w:sz="8" w:color="auto"/>
              <w:left w:val="single" w:sz="8" w:color="auto"/>
              <w:right w:val="single" w:sz="8" w:color="auto"/>
            </w:tcBorders>
          </w:tcPr>
          <w:p>
            <w:pPr>
              <w:ind w:left="40"/>
              <w:spacing w:after="0" w:line="186" w:lineRule="exact"/>
              <w:rPr>
                <w:sz w:val="20"/>
                <w:szCs w:val="20"/>
                <w:color w:val="auto"/>
              </w:rPr>
            </w:pPr>
            <w:r>
              <w:rPr>
                <w:rFonts w:ascii="Arial" w:cs="Arial" w:eastAsia="Arial" w:hAnsi="Arial"/>
                <w:sz w:val="18"/>
                <w:szCs w:val="18"/>
                <w:i w:val="1"/>
                <w:iCs w:val="1"/>
                <w:color w:val="auto"/>
              </w:rPr>
              <w:t>Annual Net Sales of Licensed Product in the Territory in a calendar</w:t>
            </w:r>
          </w:p>
        </w:tc>
        <w:tc>
          <w:tcPr>
            <w:tcW w:w="5620" w:type="dxa"/>
            <w:vAlign w:val="bottom"/>
            <w:tcBorders>
              <w:top w:val="single" w:sz="8" w:color="auto"/>
              <w:right w:val="single" w:sz="8" w:color="auto"/>
            </w:tcBorders>
          </w:tcPr>
          <w:p>
            <w:pPr>
              <w:ind w:left="20"/>
              <w:spacing w:after="0" w:line="186" w:lineRule="exact"/>
              <w:rPr>
                <w:sz w:val="20"/>
                <w:szCs w:val="20"/>
                <w:color w:val="auto"/>
              </w:rPr>
            </w:pPr>
            <w:r>
              <w:rPr>
                <w:rFonts w:ascii="Arial" w:cs="Arial" w:eastAsia="Arial" w:hAnsi="Arial"/>
                <w:sz w:val="18"/>
                <w:szCs w:val="18"/>
                <w:i w:val="1"/>
                <w:iCs w:val="1"/>
                <w:color w:val="auto"/>
              </w:rPr>
              <w:t>Royalty Rate (% of Annual Net Sales)</w:t>
            </w:r>
          </w:p>
        </w:tc>
      </w:tr>
      <w:tr>
        <w:trPr>
          <w:trHeight w:val="235"/>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year</w:t>
            </w:r>
          </w:p>
        </w:tc>
        <w:tc>
          <w:tcPr>
            <w:tcW w:w="5620" w:type="dxa"/>
            <w:vAlign w:val="bottom"/>
            <w:tcBorders>
              <w:bottom w:val="single" w:sz="8" w:color="auto"/>
              <w:right w:val="single" w:sz="8" w:color="auto"/>
            </w:tcBorders>
          </w:tcPr>
          <w:p>
            <w:pPr>
              <w:spacing w:after="0"/>
              <w:rPr>
                <w:sz w:val="20"/>
                <w:szCs w:val="20"/>
                <w:color w:val="auto"/>
              </w:rPr>
            </w:pPr>
          </w:p>
        </w:tc>
      </w:tr>
      <w:tr>
        <w:trPr>
          <w:trHeight w:val="222"/>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Less than [***]</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1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Equal to or greater than [***] but less than [***]</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1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Equal to or greater than [***] but less than [***]</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1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Equal to or greater than [***] but less than [***]</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18"/>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Equal to or greater than [***]</w:t>
            </w:r>
          </w:p>
        </w:tc>
        <w:tc>
          <w:tcPr>
            <w:tcW w:w="5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614045</wp:posOffset>
            </wp:positionV>
            <wp:extent cx="71348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320" w:top="1395" w:right="319" w:bottom="1440" w:gutter="0" w:footer="0" w:header="0"/>
        </w:sectPr>
      </w:pPr>
    </w:p>
    <w:bookmarkStart w:id="180" w:name="page181"/>
    <w:bookmarkEnd w:id="180"/>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333-264459, 333-266410, 333-272551 and 333-273961) and Form S-8 (Nos. 333-221622, 333-223539, 333-230181, 333-230499, 333-233162, 333-237164, 333-239082, 333-254618, 333-263430, 333-269335, 333-273960, 333-284320, 333-282513 and 333-276691) of X4 Pharmaceuticals, Inc. of our report dated March 25, 2025 relating to the financial statements, which appears in this Form 10-K.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March 25, 2025</w:t>
      </w:r>
    </w:p>
    <w:p>
      <w:pPr>
        <w:sectPr>
          <w:pgSz w:w="11900" w:h="16838" w:orient="portrait"/>
          <w:cols w:equalWidth="0" w:num="1">
            <w:col w:w="11240"/>
          </w:cols>
          <w:pgMar w:left="320" w:top="144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Paula Ragan, Ph.D., certify that:</w:t>
      </w:r>
    </w:p>
    <w:p>
      <w:pPr>
        <w:spacing w:after="0" w:line="217" w:lineRule="exact"/>
        <w:rPr>
          <w:sz w:val="20"/>
          <w:szCs w:val="20"/>
          <w:color w:val="auto"/>
        </w:rPr>
      </w:pPr>
    </w:p>
    <w:p>
      <w:pPr>
        <w:ind w:left="640" w:hanging="316"/>
        <w:spacing w:after="0"/>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X4 Pharmaceuticals, Inc.;</w:t>
      </w:r>
    </w:p>
    <w:p>
      <w:pPr>
        <w:spacing w:after="0" w:line="21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Paula Ragan,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094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0">
                      <a:extLst>
                        <a:ext uri="{28A0092B-C50C-407E-A947-70E740481C1C}"/>
                      </a:extLst>
                    </a:blip>
                    <a:srcRect/>
                    <a:stretch>
                      <a:fillRect/>
                    </a:stretch>
                  </pic:blipFill>
                  <pic:spPr bwMode="auto">
                    <a:xfrm>
                      <a:off x="0" y="0"/>
                      <a:ext cx="71094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Paula Ragan, Ph.D.</w:t>
      </w:r>
    </w:p>
    <w:p>
      <w:pPr>
        <w:ind w:left="20"/>
        <w:spacing w:after="0" w:line="215"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4"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Mostafa, certify that:</w:t>
      </w:r>
    </w:p>
    <w:p>
      <w:pPr>
        <w:spacing w:after="0" w:line="217" w:lineRule="exact"/>
        <w:rPr>
          <w:sz w:val="20"/>
          <w:szCs w:val="20"/>
          <w:color w:val="auto"/>
        </w:rPr>
      </w:pPr>
    </w:p>
    <w:p>
      <w:pPr>
        <w:ind w:left="640" w:hanging="316"/>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X4 Pharmaceuticals, Inc.;</w:t>
      </w:r>
    </w:p>
    <w:p>
      <w:pPr>
        <w:spacing w:after="0" w:line="217"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316"/>
        <w:spacing w:after="0" w:line="259" w:lineRule="auto"/>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320"/>
        <w:spacing w:after="0" w:line="259" w:lineRule="auto"/>
        <w:tabs>
          <w:tab w:leader="none" w:pos="127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320"/>
        <w:spacing w:after="0" w:line="259"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320"/>
        <w:spacing w:after="0" w:line="304" w:lineRule="auto"/>
        <w:tabs>
          <w:tab w:leader="none" w:pos="127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320"/>
        <w:spacing w:after="0" w:line="259"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320"/>
        <w:spacing w:after="0" w:line="304" w:lineRule="auto"/>
        <w:tabs>
          <w:tab w:leader="none" w:pos="127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320"/>
        <w:spacing w:after="0" w:line="274" w:lineRule="auto"/>
        <w:tabs>
          <w:tab w:leader="none" w:pos="12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Mostafa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094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1">
                      <a:extLst>
                        <a:ext uri="{28A0092B-C50C-407E-A947-70E740481C1C}"/>
                      </a:extLst>
                    </a:blip>
                    <a:srcRect/>
                    <a:stretch>
                      <a:fillRect/>
                    </a:stretch>
                  </pic:blipFill>
                  <pic:spPr bwMode="auto">
                    <a:xfrm>
                      <a:off x="0" y="0"/>
                      <a:ext cx="71094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Adam S. Mostafa</w:t>
      </w:r>
    </w:p>
    <w:p>
      <w:pPr>
        <w:ind w:left="20"/>
        <w:spacing w:after="0" w:line="215" w:lineRule="auto"/>
        <w:rPr>
          <w:sz w:val="20"/>
          <w:szCs w:val="20"/>
          <w:color w:val="auto"/>
        </w:rPr>
      </w:pPr>
      <w:r>
        <w:rPr>
          <w:rFonts w:ascii="Times New Roman" w:cs="Times New Roman" w:eastAsia="Times New Roman" w:hAnsi="Times New Roman"/>
          <w:sz w:val="18"/>
          <w:szCs w:val="18"/>
          <w:color w:val="auto"/>
        </w:rPr>
        <w:t>Chief Financial Officer and Treasurer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5"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Paula Ragan, Ph.D., Chief Executive Officer of X4 Pharmaceuticals, Inc. (the “Company”), and Adam S. Mostafa, Chief Financial Officer of the Company, each hereby certifies that, to the best of his or her knowledge:</w:t>
      </w:r>
    </w:p>
    <w:p>
      <w:pPr>
        <w:spacing w:after="0" w:line="300" w:lineRule="exact"/>
        <w:rPr>
          <w:sz w:val="20"/>
          <w:szCs w:val="20"/>
          <w:color w:val="auto"/>
        </w:rPr>
      </w:pPr>
    </w:p>
    <w:p>
      <w:pPr>
        <w:ind w:left="640" w:hanging="634"/>
        <w:spacing w:after="0" w:line="234" w:lineRule="auto"/>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fiscal year ended December 31, 2024, to which this Certification is attached as Exhibit 32.1 (the “Annual Report”), fully complies with the requirements of Section 13(a) or Section 15(d) of the Exchange Act; and</w:t>
      </w:r>
    </w:p>
    <w:p>
      <w:pPr>
        <w:spacing w:after="0" w:line="232" w:lineRule="exact"/>
        <w:rPr>
          <w:rFonts w:ascii="Times New Roman" w:cs="Times New Roman" w:eastAsia="Times New Roman" w:hAnsi="Times New Roman"/>
          <w:sz w:val="18"/>
          <w:szCs w:val="18"/>
          <w:b w:val="1"/>
          <w:bCs w:val="1"/>
          <w:color w:val="auto"/>
        </w:rPr>
      </w:pPr>
    </w:p>
    <w:p>
      <w:pPr>
        <w:ind w:left="640" w:hanging="634"/>
        <w:spacing w:after="0" w:line="243" w:lineRule="auto"/>
        <w:tabs>
          <w:tab w:leader="none" w:pos="6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25th day of March,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Paula Ragan, Ph.D.</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Adam Mostafa</w:t>
            </w:r>
          </w:p>
        </w:tc>
        <w:tc>
          <w:tcPr>
            <w:tcW w:w="3720" w:type="dxa"/>
            <w:vAlign w:val="bottom"/>
          </w:tcPr>
          <w:p>
            <w:pPr>
              <w:spacing w:after="0"/>
              <w:rPr>
                <w:sz w:val="17"/>
                <w:szCs w:val="17"/>
                <w:color w:val="auto"/>
              </w:rPr>
            </w:pPr>
          </w:p>
        </w:tc>
      </w:t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Paula Ragan, Ph.D.</w:t>
            </w:r>
          </w:p>
        </w:tc>
        <w:tc>
          <w:tcPr>
            <w:tcW w:w="5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Adam S. Mostafa</w:t>
            </w:r>
          </w:p>
        </w:tc>
      </w:tr>
      <w:tr>
        <w:trPr>
          <w:trHeight w:val="223"/>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3"/>
        </w:trPr>
        <w:tc>
          <w:tcPr>
            <w:tcW w:w="23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76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w w:val="97"/>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20EEDD1"/>
    <w:multiLevelType w:val="hybridMultilevel"/>
    <w:lvl w:ilvl="0">
      <w:lvlJc w:val="left"/>
      <w:lvlText w:val="x"/>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lvl w:ilvl="1">
      <w:lvlJc w:val="left"/>
      <w:lvlText w:val="▪"/>
      <w:numFmt w:val="bullet"/>
      <w:start w:val="1"/>
    </w:lvl>
  </w:abstractNum>
  <w:abstractNum w:abstractNumId="11">
    <w:nsid w:val="354FE9F9"/>
    <w:multiLevelType w:val="hybridMultilevel"/>
    <w:lvl w:ilvl="0">
      <w:lvlJc w:val="left"/>
      <w:lvlText w:val="•"/>
      <w:numFmt w:val="bullet"/>
      <w:start w:val="1"/>
    </w:lvl>
    <w:lvl w:ilvl="1">
      <w:lvlJc w:val="left"/>
      <w:lvlText w:val="•"/>
      <w:numFmt w:val="bullet"/>
      <w:start w:val="1"/>
    </w:lvl>
  </w:abstractNum>
  <w:abstractNum w:abstractNumId="12">
    <w:nsid w:val="15B5AF5C"/>
    <w:multiLevelType w:val="hybridMultilevel"/>
    <w:lvl w:ilvl="0">
      <w:lvlJc w:val="left"/>
      <w:lvlText w:val="(%1)"/>
      <w:numFmt w:val="lowerRoman"/>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lowerRoman"/>
      <w:start w:val="2"/>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4"/>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lowerRoman"/>
      <w:start w:val="1"/>
    </w:lvl>
  </w:abstractNum>
  <w:abstractNum w:abstractNumId="50">
    <w:nsid w:val="8F2B15E"/>
    <w:multiLevelType w:val="hybridMultilevel"/>
    <w:lvl w:ilvl="0">
      <w:lvlJc w:val="left"/>
      <w:lvlText w:val="%1."/>
      <w:numFmt w:val="decimal"/>
      <w:start w:val="8"/>
    </w:lvl>
  </w:abstractNum>
  <w:abstractNum w:abstractNumId="51">
    <w:nsid w:val="1A32234B"/>
    <w:multiLevelType w:val="hybridMultilevel"/>
    <w:lvl w:ilvl="0">
      <w:lvlJc w:val="left"/>
      <w:lvlText w:val="(%1)"/>
      <w:numFmt w:val="lowerRoman"/>
      <w:start w:val="1"/>
    </w:lvl>
  </w:abstractNum>
  <w:abstractNum w:abstractNumId="52">
    <w:nsid w:val="3B0FD379"/>
    <w:multiLevelType w:val="hybridMultilevel"/>
    <w:lvl w:ilvl="0">
      <w:lvlJc w:val="left"/>
      <w:lvlText w:val="(%1)"/>
      <w:numFmt w:val="lowerRoman"/>
      <w:start w:val="2"/>
    </w:lvl>
  </w:abstractNum>
  <w:abstractNum w:abstractNumId="53">
    <w:nsid w:val="68EB2F63"/>
    <w:multiLevelType w:val="hybridMultilevel"/>
    <w:lvl w:ilvl="0">
      <w:lvlJc w:val="left"/>
      <w:lvlText w:val="%1"/>
      <w:numFmt w:val="decimal"/>
      <w:start w:val="1"/>
    </w:lvl>
    <w:lvl w:ilvl="1">
      <w:lvlJc w:val="left"/>
      <w:lvlText w:val="(%2)"/>
      <w:numFmt w:val="lowerLetter"/>
      <w:start w:val="1"/>
    </w:lvl>
  </w:abstractNum>
  <w:abstractNum w:abstractNumId="54">
    <w:nsid w:val="4962813B"/>
    <w:multiLevelType w:val="hybridMultilevel"/>
    <w:lvl w:ilvl="0">
      <w:lvlJc w:val="left"/>
      <w:lvlText w:val="%1."/>
      <w:numFmt w:val="decimal"/>
      <w:start w:val="15"/>
    </w:lvl>
    <w:lvl w:ilvl="1">
      <w:lvlJc w:val="left"/>
      <w:lvlText w:val="%2"/>
      <w:numFmt w:val="lowerLetter"/>
      <w:start w:val="1"/>
    </w:lvl>
  </w:abstractNum>
  <w:abstractNum w:abstractNumId="55">
    <w:nsid w:val="60B6DF70"/>
    <w:multiLevelType w:val="hybridMultilevel"/>
    <w:lvl w:ilvl="0">
      <w:lvlJc w:val="left"/>
      <w:lvlText w:val="(%1)"/>
      <w:numFmt w:val="lowerLetter"/>
      <w:start w:val="1"/>
    </w:lvl>
  </w:abstractNum>
  <w:abstractNum w:abstractNumId="56">
    <w:nsid w:val="6A5EE64"/>
    <w:multiLevelType w:val="hybridMultilevel"/>
    <w:lvl w:ilvl="0">
      <w:lvlJc w:val="left"/>
      <w:lvlText w:val="%1."/>
      <w:numFmt w:val="decimal"/>
      <w:start w:val="20"/>
    </w:lvl>
  </w:abstractNum>
  <w:abstractNum w:abstractNumId="57">
    <w:nsid w:val="14330624"/>
    <w:multiLevelType w:val="hybridMultilevel"/>
    <w:lvl w:ilvl="0">
      <w:lvlJc w:val="left"/>
      <w:lvlText w:val="(%1)"/>
      <w:numFmt w:val="lowerRoman"/>
      <w:start w:val="1"/>
    </w:lvl>
  </w:abstractNum>
  <w:abstractNum w:abstractNumId="58">
    <w:nsid w:val="7FFFCA11"/>
    <w:multiLevelType w:val="hybridMultilevel"/>
    <w:lvl w:ilvl="0">
      <w:lvlJc w:val="left"/>
      <w:lvlText w:val="%1."/>
      <w:numFmt w:val="decimal"/>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decimal"/>
      <w:start w:val="1"/>
    </w:lvl>
  </w:abstractNum>
  <w:abstractNum w:abstractNumId="61">
    <w:nsid w:val="100F59DC"/>
    <w:multiLevelType w:val="hybridMultilevel"/>
    <w:lvl w:ilvl="0">
      <w:lvlJc w:val="left"/>
      <w:lvlText w:val="%1."/>
      <w:numFmt w:val="decimal"/>
      <w:start w:val="6"/>
    </w:lvl>
  </w:abstractNum>
  <w:abstractNum w:abstractNumId="62">
    <w:nsid w:val="7FB7E0AA"/>
    <w:multiLevelType w:val="hybridMultilevel"/>
    <w:lvl w:ilvl="0">
      <w:lvlJc w:val="left"/>
      <w:lvlText w:val="%1."/>
      <w:numFmt w:val="decimal"/>
      <w:start w:val="9"/>
    </w:lvl>
  </w:abstractNum>
  <w:abstractNum w:abstractNumId="63">
    <w:nsid w:val="6EB5BD4"/>
    <w:multiLevelType w:val="hybridMultilevel"/>
    <w:lvl w:ilvl="0">
      <w:lvlJc w:val="left"/>
      <w:lvlText w:val="%1."/>
      <w:numFmt w:val="decimal"/>
      <w:start w:val="14"/>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1)"/>
      <w:numFmt w:val="lowerRoman"/>
      <w:start w:val="4"/>
    </w:lvl>
  </w:abstractNum>
  <w:abstractNum w:abstractNumId="67">
    <w:nsid w:val="76272110"/>
    <w:multiLevelType w:val="hybridMultilevel"/>
    <w:lvl w:ilvl="0">
      <w:lvlJc w:val="left"/>
      <w:lvlText w:val="(%1)"/>
      <w:numFmt w:val="lowerLetter"/>
      <w:start w:val="2"/>
    </w:lvl>
  </w:abstractNum>
  <w:abstractNum w:abstractNumId="68">
    <w:nsid w:val="4C04A8AF"/>
    <w:multiLevelType w:val="hybridMultilevel"/>
    <w:lvl w:ilvl="0">
      <w:lvlJc w:val="left"/>
      <w:lvlText w:val="%1."/>
      <w:numFmt w:val="decimal"/>
      <w:start w:val="2"/>
    </w:lvl>
  </w:abstractNum>
  <w:abstractNum w:abstractNumId="69">
    <w:nsid w:val="1716703B"/>
    <w:multiLevelType w:val="hybridMultilevel"/>
    <w:lvl w:ilvl="0">
      <w:lvlJc w:val="left"/>
      <w:lvlText w:val="(%1)"/>
      <w:numFmt w:val="lowerRoman"/>
      <w:start w:val="4"/>
    </w:lvl>
  </w:abstractNum>
  <w:abstractNum w:abstractNumId="70">
    <w:nsid w:val="14E17E33"/>
    <w:multiLevelType w:val="hybridMultilevel"/>
    <w:lvl w:ilvl="0">
      <w:lvlJc w:val="left"/>
      <w:lvlText w:val="%1."/>
      <w:numFmt w:val="decimal"/>
      <w:start w:val="3"/>
    </w:lvl>
  </w:abstractNum>
  <w:abstractNum w:abstractNumId="71">
    <w:nsid w:val="3222E7CD"/>
    <w:multiLevelType w:val="hybridMultilevel"/>
    <w:lvl w:ilvl="0">
      <w:lvlJc w:val="left"/>
      <w:lvlText w:val="%1."/>
      <w:numFmt w:val="decimal"/>
      <w:start w:val="4"/>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1."/>
      <w:numFmt w:val="decimal"/>
      <w:start w:val="5"/>
    </w:lvl>
  </w:abstractNum>
  <w:abstractNum w:abstractNumId="74">
    <w:nsid w:val="2DF6D648"/>
    <w:multiLevelType w:val="hybridMultilevel"/>
    <w:lvl w:ilvl="0">
      <w:lvlJc w:val="left"/>
      <w:lvlText w:val="(%1)"/>
      <w:numFmt w:val="lowerLetter"/>
      <w:start w:val="2"/>
    </w:lvl>
  </w:abstractNum>
  <w:abstractNum w:abstractNumId="75">
    <w:nsid w:val="46B7D447"/>
    <w:multiLevelType w:val="hybridMultilevel"/>
    <w:lvl w:ilvl="0">
      <w:lvlJc w:val="left"/>
      <w:lvlText w:val="%1."/>
      <w:numFmt w:val="decimal"/>
      <w:start w:val="6"/>
    </w:lvl>
  </w:abstractNum>
  <w:abstractNum w:abstractNumId="76">
    <w:nsid w:val="4A2AC315"/>
    <w:multiLevelType w:val="hybridMultilevel"/>
    <w:lvl w:ilvl="0">
      <w:lvlJc w:val="left"/>
      <w:lvlText w:val="(%1)"/>
      <w:numFmt w:val="lowerLetter"/>
      <w:start w:val="1"/>
    </w:lvl>
    <w:lvl w:ilvl="1">
      <w:lvlJc w:val="left"/>
      <w:lvlText w:val="(%2)"/>
      <w:numFmt w:val="lowerRoman"/>
      <w:start w:val="1"/>
    </w:lvl>
  </w:abstractNum>
  <w:abstractNum w:abstractNumId="77">
    <w:nsid w:val="39EE015C"/>
    <w:multiLevelType w:val="hybridMultilevel"/>
    <w:lvl w:ilvl="0">
      <w:lvlJc w:val="left"/>
      <w:lvlText w:val="(%1)"/>
      <w:numFmt w:val="lowerLetter"/>
      <w:start w:val="3"/>
    </w:lvl>
    <w:lvl w:ilvl="1">
      <w:lvlJc w:val="left"/>
      <w:lvlText w:val="(%2)"/>
      <w:numFmt w:val="lowerLetter"/>
      <w:start w:val="35"/>
    </w:lvl>
  </w:abstractNum>
  <w:abstractNum w:abstractNumId="78">
    <w:nsid w:val="57FC4FBB"/>
    <w:multiLevelType w:val="hybridMultilevel"/>
    <w:lvl w:ilvl="0">
      <w:lvlJc w:val="left"/>
      <w:lvlText w:val="%1."/>
      <w:numFmt w:val="decimal"/>
      <w:start w:val="7"/>
    </w:lvl>
  </w:abstractNum>
  <w:abstractNum w:abstractNumId="79">
    <w:nsid w:val="CC1016F"/>
    <w:multiLevelType w:val="hybridMultilevel"/>
    <w:lvl w:ilvl="0">
      <w:lvlJc w:val="left"/>
      <w:lvlText w:val="(%1)"/>
      <w:numFmt w:val="lowerRoman"/>
      <w:start w:val="2"/>
    </w:lvl>
  </w:abstractNum>
  <w:abstractNum w:abstractNumId="80">
    <w:nsid w:val="43F18422"/>
    <w:multiLevelType w:val="hybridMultilevel"/>
    <w:lvl w:ilvl="0">
      <w:lvlJc w:val="left"/>
      <w:lvlText w:val="(%1)"/>
      <w:numFmt w:val="lowerLetter"/>
      <w:start w:val="1"/>
    </w:lvl>
  </w:abstractNum>
  <w:abstractNum w:abstractNumId="81">
    <w:nsid w:val="60EF0119"/>
    <w:multiLevelType w:val="hybridMultilevel"/>
    <w:lvl w:ilvl="0">
      <w:lvlJc w:val="left"/>
      <w:lvlText w:val="(%1)"/>
      <w:numFmt w:val="lowerLetter"/>
      <w:start w:val="4"/>
    </w:lvl>
  </w:abstractNum>
  <w:abstractNum w:abstractNumId="82">
    <w:nsid w:val="26F324BA"/>
    <w:multiLevelType w:val="hybridMultilevel"/>
    <w:lvl w:ilvl="0">
      <w:lvlJc w:val="left"/>
      <w:lvlText w:val="(%1)"/>
      <w:numFmt w:val="lowerLetter"/>
      <w:start w:val="1"/>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4"/>
    </w:lvl>
  </w:abstractNum>
  <w:abstractNum w:abstractNumId="85">
    <w:nsid w:val="7055A5F5"/>
    <w:multiLevelType w:val="hybridMultilevel"/>
    <w:lvl w:ilvl="0">
      <w:lvlJc w:val="left"/>
      <w:lvlText w:val="%1."/>
      <w:numFmt w:val="decimal"/>
      <w:start w:val="8"/>
    </w:lvl>
  </w:abstractNum>
  <w:abstractNum w:abstractNumId="86">
    <w:nsid w:val="5FB8370B"/>
    <w:multiLevelType w:val="hybridMultilevel"/>
    <w:lvl w:ilvl="0">
      <w:lvlJc w:val="left"/>
      <w:lvlText w:val="%1."/>
      <w:numFmt w:val="decimal"/>
      <w:start w:val="9"/>
    </w:lvl>
  </w:abstractNum>
  <w:abstractNum w:abstractNumId="87">
    <w:nsid w:val="50801EE1"/>
    <w:multiLevelType w:val="hybridMultilevel"/>
    <w:lvl w:ilvl="0">
      <w:lvlJc w:val="left"/>
      <w:lvlText w:val="%1."/>
      <w:numFmt w:val="decimal"/>
      <w:start w:val="10"/>
    </w:lvl>
  </w:abstractNum>
  <w:abstractNum w:abstractNumId="88">
    <w:nsid w:val="488AC1A"/>
    <w:multiLevelType w:val="hybridMultilevel"/>
    <w:lvl w:ilvl="0">
      <w:lvlJc w:val="left"/>
      <w:lvlText w:val="%1."/>
      <w:numFmt w:val="decimal"/>
      <w:start w:val="1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1."/>
      <w:numFmt w:val="decimal"/>
      <w:start w:val="12"/>
    </w:lvl>
  </w:abstractNum>
  <w:abstractNum w:abstractNumId="91">
    <w:nsid w:val="7672BD23"/>
    <w:multiLevelType w:val="hybridMultilevel"/>
    <w:lvl w:ilvl="0">
      <w:lvlJc w:val="left"/>
      <w:lvlText w:val="%1."/>
      <w:numFmt w:val="decimal"/>
      <w:start w:val="13"/>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4"/>
    </w:lvl>
  </w:abstractNum>
  <w:abstractNum w:abstractNumId="94">
    <w:nsid w:val="7D5E18F8"/>
    <w:multiLevelType w:val="hybridMultilevel"/>
    <w:lvl w:ilvl="0">
      <w:lvlJc w:val="left"/>
      <w:lvlText w:val="(%1)"/>
      <w:numFmt w:val="lowerLetter"/>
      <w:start w:val="1"/>
    </w:lvl>
  </w:abstractNum>
  <w:abstractNum w:abstractNumId="95">
    <w:nsid w:val="5F3534A4"/>
    <w:multiLevelType w:val="hybridMultilevel"/>
    <w:lvl w:ilvl="0">
      <w:lvlJc w:val="left"/>
      <w:lvlText w:val="%1."/>
      <w:numFmt w:val="decimal"/>
      <w:start w:val="14"/>
    </w:lvl>
  </w:abstractNum>
  <w:abstractNum w:abstractNumId="96">
    <w:nsid w:val="73A1821B"/>
    <w:multiLevelType w:val="hybridMultilevel"/>
    <w:lvl w:ilvl="0">
      <w:lvlJc w:val="left"/>
      <w:lvlText w:val="%1."/>
      <w:numFmt w:val="decimal"/>
      <w:start w:val="15"/>
    </w:lvl>
  </w:abstractNum>
  <w:abstractNum w:abstractNumId="97">
    <w:nsid w:val="7DE67713"/>
    <w:multiLevelType w:val="hybridMultilevel"/>
    <w:lvl w:ilvl="0">
      <w:lvlJc w:val="left"/>
      <w:lvlText w:val="%1."/>
      <w:numFmt w:val="decimal"/>
      <w:start w:val="16"/>
    </w:lvl>
  </w:abstractNum>
  <w:abstractNum w:abstractNumId="98">
    <w:nsid w:val="555C55B5"/>
    <w:multiLevelType w:val="hybridMultilevel"/>
    <w:lvl w:ilvl="0">
      <w:lvlJc w:val="left"/>
      <w:lvlText w:val="%1."/>
      <w:numFmt w:val="decimal"/>
      <w:start w:val="17"/>
    </w:lvl>
  </w:abstractNum>
  <w:abstractNum w:abstractNumId="99">
    <w:nsid w:val="3FA62ACA"/>
    <w:multiLevelType w:val="hybridMultilevel"/>
    <w:lvl w:ilvl="0">
      <w:lvlJc w:val="left"/>
      <w:lvlText w:val="%1."/>
      <w:numFmt w:val="decimal"/>
      <w:start w:val="18"/>
    </w:lvl>
  </w:abstractNum>
  <w:abstractNum w:abstractNumId="100">
    <w:nsid w:val="14FCE74E"/>
    <w:multiLevelType w:val="hybridMultilevel"/>
    <w:lvl w:ilvl="0">
      <w:lvlJc w:val="left"/>
      <w:lvlText w:val="(%1)"/>
      <w:numFmt w:val="lowerRoman"/>
      <w:start w:val="4"/>
    </w:lvl>
  </w:abstractNum>
  <w:abstractNum w:abstractNumId="101">
    <w:nsid w:val="6A3DD3E8"/>
    <w:multiLevelType w:val="hybridMultilevel"/>
    <w:lvl w:ilvl="0">
      <w:lvlJc w:val="left"/>
      <w:lvlText w:val="(%1)"/>
      <w:numFmt w:val="lowerRoman"/>
      <w:start w:val="2"/>
    </w:lvl>
  </w:abstractNum>
  <w:abstractNum w:abstractNumId="102">
    <w:nsid w:val="71C91298"/>
    <w:multiLevelType w:val="hybridMultilevel"/>
    <w:lvl w:ilvl="0">
      <w:lvlJc w:val="left"/>
      <w:lvlText w:val="%1."/>
      <w:numFmt w:val="decimal"/>
      <w:start w:val="19"/>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46" Type="http://schemas.openxmlformats.org/officeDocument/2006/relationships/image" Target="media/image100.png"/><Relationship Id="rId165"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218" Type="http://schemas.openxmlformats.org/officeDocument/2006/relationships/image" Target="media/image152.png"/><Relationship Id="rId219" Type="http://schemas.openxmlformats.org/officeDocument/2006/relationships/image" Target="media/image153.png"/><Relationship Id="rId220" Type="http://schemas.openxmlformats.org/officeDocument/2006/relationships/image" Target="media/image154.png"/><Relationship Id="rId221" Type="http://schemas.openxmlformats.org/officeDocument/2006/relationships/image" Target="media/image155.png"/><Relationship Id="rId222" Type="http://schemas.openxmlformats.org/officeDocument/2006/relationships/image" Target="media/image156.png"/><Relationship Id="rId223" Type="http://schemas.openxmlformats.org/officeDocument/2006/relationships/image" Target="media/image157.png"/><Relationship Id="rId224" Type="http://schemas.openxmlformats.org/officeDocument/2006/relationships/image" Target="media/image158.png"/><Relationship Id="rId225" Type="http://schemas.openxmlformats.org/officeDocument/2006/relationships/image" Target="media/image159.png"/><Relationship Id="rId226" Type="http://schemas.openxmlformats.org/officeDocument/2006/relationships/image" Target="media/image160.png"/><Relationship Id="rId227"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0" Type="http://schemas.openxmlformats.org/officeDocument/2006/relationships/image" Target="media/image164.png"/><Relationship Id="rId231" Type="http://schemas.openxmlformats.org/officeDocument/2006/relationships/image" Target="media/image165.png"/><Relationship Id="rId232" Type="http://schemas.openxmlformats.org/officeDocument/2006/relationships/image" Target="media/image166.png"/><Relationship Id="rId233" Type="http://schemas.openxmlformats.org/officeDocument/2006/relationships/image" Target="media/image167.png"/><Relationship Id="rId234" Type="http://schemas.openxmlformats.org/officeDocument/2006/relationships/image" Target="media/image168.png"/><Relationship Id="rId235" Type="http://schemas.openxmlformats.org/officeDocument/2006/relationships/image" Target="media/image169.png"/><Relationship Id="rId236" Type="http://schemas.openxmlformats.org/officeDocument/2006/relationships/image" Target="media/image170.png"/><Relationship Id="rId237" Type="http://schemas.openxmlformats.org/officeDocument/2006/relationships/image" Target="media/image171.png"/><Relationship Id="rId238" Type="http://schemas.openxmlformats.org/officeDocument/2006/relationships/image" Target="media/image172.png"/><Relationship Id="rId239" Type="http://schemas.openxmlformats.org/officeDocument/2006/relationships/image" Target="media/image173.png"/><Relationship Id="rId240" Type="http://schemas.openxmlformats.org/officeDocument/2006/relationships/image" Target="media/image174.png"/><Relationship Id="rId241" Type="http://schemas.openxmlformats.org/officeDocument/2006/relationships/image" Target="media/image175.png"/><Relationship Id="rId242" Type="http://schemas.openxmlformats.org/officeDocument/2006/relationships/image" Target="media/image176.png"/><Relationship Id="rId243" Type="http://schemas.openxmlformats.org/officeDocument/2006/relationships/image" Target="media/image177.png"/><Relationship Id="rId244" Type="http://schemas.openxmlformats.org/officeDocument/2006/relationships/image" Target="media/image178.png"/><Relationship Id="rId245" Type="http://schemas.openxmlformats.org/officeDocument/2006/relationships/image" Target="media/image179.png"/><Relationship Id="rId246" Type="http://schemas.openxmlformats.org/officeDocument/2006/relationships/image" Target="media/image180.png"/><Relationship Id="rId247" Type="http://schemas.openxmlformats.org/officeDocument/2006/relationships/image" Target="media/image181.png"/><Relationship Id="rId248" Type="http://schemas.openxmlformats.org/officeDocument/2006/relationships/image" Target="media/image182.png"/><Relationship Id="rId249" Type="http://schemas.openxmlformats.org/officeDocument/2006/relationships/image" Target="media/image183.png"/><Relationship Id="rId250" Type="http://schemas.openxmlformats.org/officeDocument/2006/relationships/image" Target="media/image184.png"/><Relationship Id="rId251" Type="http://schemas.openxmlformats.org/officeDocument/2006/relationships/image" Target="media/image185.png"/><Relationship Id="rId252" Type="http://schemas.openxmlformats.org/officeDocument/2006/relationships/image" Target="media/image186.png"/><Relationship Id="rId253" Type="http://schemas.openxmlformats.org/officeDocument/2006/relationships/image" Target="media/image187.png"/><Relationship Id="rId254" Type="http://schemas.openxmlformats.org/officeDocument/2006/relationships/image" Target="media/image188.png"/><Relationship Id="rId255" Type="http://schemas.openxmlformats.org/officeDocument/2006/relationships/image" Target="media/image189.png"/><Relationship Id="rId256" Type="http://schemas.openxmlformats.org/officeDocument/2006/relationships/image" Target="media/image190.png"/><Relationship Id="rId257" Type="http://schemas.openxmlformats.org/officeDocument/2006/relationships/image" Target="media/image191.png"/><Relationship Id="rId258" Type="http://schemas.openxmlformats.org/officeDocument/2006/relationships/image" Target="media/image192.png"/><Relationship Id="rId259" Type="http://schemas.openxmlformats.org/officeDocument/2006/relationships/image" Target="media/image193.png"/><Relationship Id="rId260" Type="http://schemas.openxmlformats.org/officeDocument/2006/relationships/image" Target="media/image194.png"/><Relationship Id="rId261" Type="http://schemas.openxmlformats.org/officeDocument/2006/relationships/image" Target="media/image195.png"/><Relationship Id="rId262" Type="http://schemas.openxmlformats.org/officeDocument/2006/relationships/image" Target="media/image196.png"/><Relationship Id="rId263" Type="http://schemas.openxmlformats.org/officeDocument/2006/relationships/image" Target="media/image197.png"/><Relationship Id="rId264" Type="http://schemas.openxmlformats.org/officeDocument/2006/relationships/image" Target="media/image198.png"/><Relationship Id="rId265" Type="http://schemas.openxmlformats.org/officeDocument/2006/relationships/image" Target="media/image199.png"/><Relationship Id="rId266" Type="http://schemas.openxmlformats.org/officeDocument/2006/relationships/image" Target="media/image200.png"/><Relationship Id="rId267" Type="http://schemas.openxmlformats.org/officeDocument/2006/relationships/image" Target="media/image201.png"/><Relationship Id="rId268" Type="http://schemas.openxmlformats.org/officeDocument/2006/relationships/image" Target="media/image202.png"/><Relationship Id="rId269" Type="http://schemas.openxmlformats.org/officeDocument/2006/relationships/image" Target="media/image203.png"/><Relationship Id="rId270" Type="http://schemas.openxmlformats.org/officeDocument/2006/relationships/image" Target="media/image204.png"/><Relationship Id="rId271" Type="http://schemas.openxmlformats.org/officeDocument/2006/relationships/image" Target="media/image205.png"/><Relationship Id="rId272" Type="http://schemas.openxmlformats.org/officeDocument/2006/relationships/image" Target="media/image206.png"/><Relationship Id="rId273" Type="http://schemas.openxmlformats.org/officeDocument/2006/relationships/image" Target="media/image207.png"/><Relationship Id="rId274" Type="http://schemas.openxmlformats.org/officeDocument/2006/relationships/image" Target="media/image208.png"/><Relationship Id="rId275" Type="http://schemas.openxmlformats.org/officeDocument/2006/relationships/image" Target="media/image209.png"/><Relationship Id="rId276" Type="http://schemas.openxmlformats.org/officeDocument/2006/relationships/image" Target="media/image210.png"/><Relationship Id="rId277" Type="http://schemas.openxmlformats.org/officeDocument/2006/relationships/image" Target="media/image211.png"/><Relationship Id="rId278" Type="http://schemas.openxmlformats.org/officeDocument/2006/relationships/image" Target="media/image212.png"/><Relationship Id="rId279" Type="http://schemas.openxmlformats.org/officeDocument/2006/relationships/image" Target="media/image213.png"/><Relationship Id="rId280" Type="http://schemas.openxmlformats.org/officeDocument/2006/relationships/image" Target="media/image214.png"/><Relationship Id="rId281" Type="http://schemas.openxmlformats.org/officeDocument/2006/relationships/image" Target="media/image215.png"/><Relationship Id="rId282" Type="http://schemas.openxmlformats.org/officeDocument/2006/relationships/image" Target="media/image216.png"/><Relationship Id="rId283" Type="http://schemas.openxmlformats.org/officeDocument/2006/relationships/image" Target="media/image217.png"/><Relationship Id="rId284" Type="http://schemas.openxmlformats.org/officeDocument/2006/relationships/image" Target="media/image218.png"/><Relationship Id="rId285" Type="http://schemas.openxmlformats.org/officeDocument/2006/relationships/image" Target="media/image219.png"/><Relationship Id="rId286" Type="http://schemas.openxmlformats.org/officeDocument/2006/relationships/image" Target="media/image220.png"/><Relationship Id="rId287" Type="http://schemas.openxmlformats.org/officeDocument/2006/relationships/image" Target="media/image221.png"/><Relationship Id="rId288" Type="http://schemas.openxmlformats.org/officeDocument/2006/relationships/image" Target="media/image222.png"/><Relationship Id="rId289" Type="http://schemas.openxmlformats.org/officeDocument/2006/relationships/image" Target="media/image223.png"/><Relationship Id="rId290" Type="http://schemas.openxmlformats.org/officeDocument/2006/relationships/image" Target="media/image224.png"/><Relationship Id="rId291" Type="http://schemas.openxmlformats.org/officeDocument/2006/relationships/image" Target="media/image225.png"/><Relationship Id="rId292" Type="http://schemas.openxmlformats.org/officeDocument/2006/relationships/image" Target="media/image226.png"/><Relationship Id="rId293" Type="http://schemas.openxmlformats.org/officeDocument/2006/relationships/image" Target="media/image227.png"/><Relationship Id="rId294" Type="http://schemas.openxmlformats.org/officeDocument/2006/relationships/image" Target="media/image228.png"/><Relationship Id="rId295" Type="http://schemas.openxmlformats.org/officeDocument/2006/relationships/image" Target="media/image229.png"/><Relationship Id="rId296" Type="http://schemas.openxmlformats.org/officeDocument/2006/relationships/image" Target="media/image230.png"/><Relationship Id="rId297" Type="http://schemas.openxmlformats.org/officeDocument/2006/relationships/image" Target="media/image231.png"/><Relationship Id="rId298" Type="http://schemas.openxmlformats.org/officeDocument/2006/relationships/image" Target="media/image232.png"/><Relationship Id="rId299" Type="http://schemas.openxmlformats.org/officeDocument/2006/relationships/image" Target="media/image233.png"/><Relationship Id="rId300" Type="http://schemas.openxmlformats.org/officeDocument/2006/relationships/image" Target="media/image234.png"/><Relationship Id="rId301" Type="http://schemas.openxmlformats.org/officeDocument/2006/relationships/image" Target="media/image235.png"/><Relationship Id="rId302" Type="http://schemas.openxmlformats.org/officeDocument/2006/relationships/image" Target="media/image236.png"/><Relationship Id="rId303" Type="http://schemas.openxmlformats.org/officeDocument/2006/relationships/image" Target="media/image237.png"/><Relationship Id="rId304" Type="http://schemas.openxmlformats.org/officeDocument/2006/relationships/image" Target="media/image238.png"/><Relationship Id="rId305" Type="http://schemas.openxmlformats.org/officeDocument/2006/relationships/image" Target="media/image239.png"/><Relationship Id="rId306" Type="http://schemas.openxmlformats.org/officeDocument/2006/relationships/image" Target="media/image240.png"/><Relationship Id="rId307" Type="http://schemas.openxmlformats.org/officeDocument/2006/relationships/image" Target="media/image241.png"/><Relationship Id="rId308" Type="http://schemas.openxmlformats.org/officeDocument/2006/relationships/image" Target="media/image242.png"/><Relationship Id="rId309" Type="http://schemas.openxmlformats.org/officeDocument/2006/relationships/image" Target="media/image243.png"/><Relationship Id="rId310" Type="http://schemas.openxmlformats.org/officeDocument/2006/relationships/image" Target="media/image244.png"/><Relationship Id="rId311" Type="http://schemas.openxmlformats.org/officeDocument/2006/relationships/image" Target="media/image245.png"/><Relationship Id="rId312" Type="http://schemas.openxmlformats.org/officeDocument/2006/relationships/image" Target="media/image246.png"/><Relationship Id="rId313" Type="http://schemas.openxmlformats.org/officeDocument/2006/relationships/image" Target="media/image247.png"/><Relationship Id="rId314" Type="http://schemas.openxmlformats.org/officeDocument/2006/relationships/image" Target="media/image248.png"/><Relationship Id="rId315" Type="http://schemas.openxmlformats.org/officeDocument/2006/relationships/image" Target="media/image249.png"/><Relationship Id="rId316" Type="http://schemas.openxmlformats.org/officeDocument/2006/relationships/image" Target="media/image250.png"/><Relationship Id="rId317" Type="http://schemas.openxmlformats.org/officeDocument/2006/relationships/image" Target="media/image251.png"/><Relationship Id="rId318" Type="http://schemas.openxmlformats.org/officeDocument/2006/relationships/image" Target="media/image252.png"/><Relationship Id="rId319" Type="http://schemas.openxmlformats.org/officeDocument/2006/relationships/image" Target="media/image253.png"/><Relationship Id="rId320" Type="http://schemas.openxmlformats.org/officeDocument/2006/relationships/image" Target="media/image254.png"/><Relationship Id="rId321" Type="http://schemas.openxmlformats.org/officeDocument/2006/relationships/image" Target="media/image255.png"/><Relationship Id="rId322" Type="http://schemas.openxmlformats.org/officeDocument/2006/relationships/image" Target="media/image256.png"/><Relationship Id="rId323" Type="http://schemas.openxmlformats.org/officeDocument/2006/relationships/image" Target="media/image257.png"/><Relationship Id="rId324" Type="http://schemas.openxmlformats.org/officeDocument/2006/relationships/image" Target="media/image258.png"/><Relationship Id="rId325" Type="http://schemas.openxmlformats.org/officeDocument/2006/relationships/image" Target="media/image259.png"/><Relationship Id="rId326" Type="http://schemas.openxmlformats.org/officeDocument/2006/relationships/image" Target="media/image260.png"/><Relationship Id="rId327" Type="http://schemas.openxmlformats.org/officeDocument/2006/relationships/image" Target="media/image261.png"/><Relationship Id="rId328" Type="http://schemas.openxmlformats.org/officeDocument/2006/relationships/image" Target="media/image262.png"/><Relationship Id="rId329" Type="http://schemas.openxmlformats.org/officeDocument/2006/relationships/image" Target="media/image263.png"/><Relationship Id="rId330" Type="http://schemas.openxmlformats.org/officeDocument/2006/relationships/image" Target="media/image264.png"/><Relationship Id="rId331" Type="http://schemas.openxmlformats.org/officeDocument/2006/relationships/image" Target="media/image265.png"/><Relationship Id="rId105" Type="http://schemas.openxmlformats.org/officeDocument/2006/relationships/hyperlink" Target="https://www.sec.gov/Archives/edgar/data/1501697/000162828022024161/x4-ex31to8xkxcharteramen.htm" TargetMode="External"/><Relationship Id="rId106" Type="http://schemas.openxmlformats.org/officeDocument/2006/relationships/hyperlink" Target="https://www.sec.gov/Archives/edgar/data/0001501697/000119312517348213/d495338dex32.htm" TargetMode="External"/><Relationship Id="rId107" Type="http://schemas.openxmlformats.org/officeDocument/2006/relationships/hyperlink" Target="https://www.sec.gov/Archives/edgar/data/1501697/000119312519073465/d702482dex41.htm" TargetMode="External"/><Relationship Id="rId108" Type="http://schemas.openxmlformats.org/officeDocument/2006/relationships/hyperlink" Target="https://www.sec.gov/Archives/edgar/data/1501697/000119312519073465/d702482dex42.htm" TargetMode="External"/><Relationship Id="rId109" Type="http://schemas.openxmlformats.org/officeDocument/2006/relationships/hyperlink" Target="https://www.sec.gov/Archives/edgar/data/1501697/000119312519073465/d702482dex43.htm" TargetMode="External"/><Relationship Id="rId110" Type="http://schemas.openxmlformats.org/officeDocument/2006/relationships/hyperlink" Target="https://www.sec.gov/Archives/edgar/data/1501697/000119312519073465/d702482dex45.htm" TargetMode="External"/><Relationship Id="rId111" Type="http://schemas.openxmlformats.org/officeDocument/2006/relationships/hyperlink" Target="https://www.sec.gov/Archives/edgar/data/1501697/000119312519073465/d702482dex46.htm" TargetMode="External"/><Relationship Id="rId112" Type="http://schemas.openxmlformats.org/officeDocument/2006/relationships/hyperlink" Target="https://www.sec.gov/Archives/edgar/data/1501697/000119312519106621/d734812dex41.htm" TargetMode="External"/><Relationship Id="rId113" Type="http://schemas.openxmlformats.org/officeDocument/2006/relationships/hyperlink" Target="https://www.sec.gov/Archives/edgar/data/1501697/000119312519302716/d838637dex41.htm" TargetMode="External"/><Relationship Id="rId114" Type="http://schemas.openxmlformats.org/officeDocument/2006/relationships/hyperlink" Target="https://www.sec.gov/Archives/edgar/data/0001501697/000162828021005139/formofprefundedwarrant.htm" TargetMode="External"/><Relationship Id="rId115" Type="http://schemas.openxmlformats.org/officeDocument/2006/relationships/hyperlink" Target="https://www.sec.gov/Archives/edgar/data/0001501697/000162828021022069/ex41formofprefundedwarrant.htm" TargetMode="External"/><Relationship Id="rId116" Type="http://schemas.openxmlformats.org/officeDocument/2006/relationships/hyperlink" Target="https://www.sec.gov/Archives/edgar/data/0001501697/000119312520213051/d85689dex12.htm" TargetMode="External"/><Relationship Id="rId117" Type="http://schemas.openxmlformats.org/officeDocument/2006/relationships/hyperlink" Target="https://www.sec.gov/Archives/edgar/data/1501697/000162828023008745/ex_417mar212023.htm" TargetMode="External"/><Relationship Id="rId120" Type="http://schemas.openxmlformats.org/officeDocument/2006/relationships/hyperlink" Target="https://www.sec.gov/Archives/edgar/data/1501697/000162828022004915/ex41formofpre-fundedwarrant.htm" TargetMode="External"/><Relationship Id="rId121" Type="http://schemas.openxmlformats.org/officeDocument/2006/relationships/hyperlink" Target="https://www.sec.gov/Archives/edgar/data/1501697/000162828022000967/ex_101purchaseagreement.htm" TargetMode="External"/><Relationship Id="rId122" Type="http://schemas.openxmlformats.org/officeDocument/2006/relationships/hyperlink" Target="https://www.sec.gov/Archives/edgar/data/1501697/000162828022018392/ex-41formofprefundedwarrant.htm" TargetMode="External"/><Relationship Id="rId123" Type="http://schemas.openxmlformats.org/officeDocument/2006/relationships/hyperlink" Target="https://www.sec.gov/Archives/edgar/data/1501697/000162828022018392/ex-42formofwarrant.htm" TargetMode="External"/><Relationship Id="rId124" Type="http://schemas.openxmlformats.org/officeDocument/2006/relationships/hyperlink" Target="https://www.sec.gov/Archives/edgar/data/1501697/000162828022031632/ex41xforformofprefundedwar.htm" TargetMode="External"/><Relationship Id="rId125" Type="http://schemas.openxmlformats.org/officeDocument/2006/relationships/hyperlink" Target="https://www.sec.gov/Archives/edgar/data/1501697/000162828022031632/ex42xforformofclasscwarrant.htm" TargetMode="External"/><Relationship Id="rId126" Type="http://schemas.openxmlformats.org/officeDocument/2006/relationships/hyperlink" Target="https://www.sec.gov/Archives/edgar/data/1501697/000162828023018424/ex41formofprefundedwarrant.htm" TargetMode="External"/><Relationship Id="rId127" Type="http://schemas.openxmlformats.org/officeDocument/2006/relationships/hyperlink" Target="https://www.sec.gov/Archives/edgar/data/1501697/000119312519073465/d702482dex1011.htm" TargetMode="External"/><Relationship Id="rId128" Type="http://schemas.openxmlformats.org/officeDocument/2006/relationships/hyperlink" Target="https://www.sec.gov/Archives/edgar/data/1501697/000119312519095792/d711669dex1012.htm" TargetMode="External"/><Relationship Id="rId129" Type="http://schemas.openxmlformats.org/officeDocument/2006/relationships/hyperlink" Target="https://www.sec.gov/Archives/edgar/data/1501697/000119312519176532/d765457dex106.htm" TargetMode="External"/><Relationship Id="rId130" Type="http://schemas.openxmlformats.org/officeDocument/2006/relationships/hyperlink" Target="https://www.sec.gov/Archives/edgar/data/1501697/000162828020009216/xfor_06102020xamendedandre.htm" TargetMode="External"/><Relationship Id="rId131" Type="http://schemas.openxmlformats.org/officeDocument/2006/relationships/hyperlink" Target="https://www.sec.gov/Archives/edgar/data/0001501697/000119312517315505/d427310dex108.htm" TargetMode="External"/><Relationship Id="rId132" Type="http://schemas.openxmlformats.org/officeDocument/2006/relationships/hyperlink" Target="https://www.sec.gov/Archives/edgar/data/0001501697/000119312517315505/d427310dex109.htm" TargetMode="External"/><Relationship Id="rId133" Type="http://schemas.openxmlformats.org/officeDocument/2006/relationships/hyperlink" Target="https://www.sec.gov/Archives/edgar/data/1501697/000119312518334447/d663229dex106.htm" TargetMode="External"/><Relationship Id="rId134" Type="http://schemas.openxmlformats.org/officeDocument/2006/relationships/hyperlink" Target="https://www.sec.gov/Archives/edgar/data/1501697/000119312519176532/d765457dex105.htm" TargetMode="External"/><Relationship Id="rId135" Type="http://schemas.openxmlformats.org/officeDocument/2006/relationships/hyperlink" Target="https://www.sec.gov/Archives/edgar/data/1501697/000162828020009216/x4-2017planxformofperforma.htm" TargetMode="External"/><Relationship Id="rId136" Type="http://schemas.openxmlformats.org/officeDocument/2006/relationships/hyperlink" Target="https://www.sec.gov/Archives/edgar/data/1501697/000162828023028897/a104amendedandrestated2017.htm" TargetMode="External"/><Relationship Id="rId137" Type="http://schemas.openxmlformats.org/officeDocument/2006/relationships/hyperlink" Target="https://www.sec.gov/Archives/edgar/data/1501697/000162828023028897/ex103anr2019inducementequi.htm" TargetMode="External"/><Relationship Id="rId138" Type="http://schemas.openxmlformats.org/officeDocument/2006/relationships/hyperlink" Target="https://www.sec.gov/Archives/edgar/data/1501697/000119312519176532/d765457dex102.htm" TargetMode="External"/><Relationship Id="rId139" Type="http://schemas.openxmlformats.org/officeDocument/2006/relationships/hyperlink" Target="https://www.sec.gov/Archives/edgar/data/1501697/000119312519176532/d765457dex103.htm" TargetMode="External"/><Relationship Id="rId140" Type="http://schemas.openxmlformats.org/officeDocument/2006/relationships/hyperlink" Target="https://www.sec.gov/Archives/edgar/data/1501697/000119312519176532/d765457dex104.htm" TargetMode="External"/><Relationship Id="rId141" Type="http://schemas.openxmlformats.org/officeDocument/2006/relationships/hyperlink" Target="https://www.sec.gov/Archives/edgar/data/0001501697/000119312517333514/d427310dex1036.htm" TargetMode="External"/><Relationship Id="rId142" Type="http://schemas.openxmlformats.org/officeDocument/2006/relationships/hyperlink" Target="https://www.sec.gov/Archives/edgar/data/1501697/000162828023008745/ex_1016mar212023.htm" TargetMode="External"/><Relationship Id="rId143" Type="http://schemas.openxmlformats.org/officeDocument/2006/relationships/hyperlink" Target="https://www.sec.gov/Archives/edgar/data/1501697/000119312519073465/d702482dex103.htm" TargetMode="External"/><Relationship Id="rId144" Type="http://schemas.openxmlformats.org/officeDocument/2006/relationships/hyperlink" Target="https://www.sec.gov/Archives/edgar/data/0001501697/000162828020006998/ex101.htm" TargetMode="External"/><Relationship Id="rId145" Type="http://schemas.openxmlformats.org/officeDocument/2006/relationships/hyperlink" Target="https://www.sec.gov/Archives/edgar/data/1501697/000162828022006547/ex1019.htm" TargetMode="External"/><Relationship Id="rId147" Type="http://schemas.openxmlformats.org/officeDocument/2006/relationships/hyperlink" Target="https://www.sec.gov/Archives/edgar/data/1501697/000162828022006547/ex1023.htm" TargetMode="External"/><Relationship Id="rId148" Type="http://schemas.openxmlformats.org/officeDocument/2006/relationships/hyperlink" Target="https://www.sec.gov/Archives/edgar/data/1501697/000162828023008745/ex-1021.htm" TargetMode="External"/><Relationship Id="rId149" Type="http://schemas.openxmlformats.org/officeDocument/2006/relationships/hyperlink" Target="https://www.sec.gov/Archives/edgar/data/1501697/000119312519145463/d944716dex105.htm" TargetMode="External"/><Relationship Id="rId150" Type="http://schemas.openxmlformats.org/officeDocument/2006/relationships/hyperlink" Target="https://www.sec.gov/Archives/edgar/data/1501697/000119312519145463/d944716dex106.htm" TargetMode="External"/><Relationship Id="rId151" Type="http://schemas.openxmlformats.org/officeDocument/2006/relationships/hyperlink" Target="https://www.sec.gov/Archives/edgar/data/1501697/000119312519145463/d944716dex107.htm" TargetMode="External"/><Relationship Id="rId152" Type="http://schemas.openxmlformats.org/officeDocument/2006/relationships/hyperlink" Target="https://www.sec.gov/Archives/edgar/data/1501697/000119312519145463/d944716dex108.htm" TargetMode="External"/><Relationship Id="rId153" Type="http://schemas.openxmlformats.org/officeDocument/2006/relationships/hyperlink" Target="https://www.sec.gov/Archives/edgar/data/1501697/000162828023008745/x4_1027.htm" TargetMode="External"/><Relationship Id="rId154" Type="http://schemas.openxmlformats.org/officeDocument/2006/relationships/hyperlink" Target="https://www.sec.gov/Archives/edgar/data/1501697/000162828020003484/ex1032leasedatedasofno.htm" TargetMode="External"/><Relationship Id="rId155" Type="http://schemas.openxmlformats.org/officeDocument/2006/relationships/hyperlink" Target="https://www.sec.gov/Archives/edgar/data/1501697/000162828020003484/ex35masterservicesagre.htm" TargetMode="External"/><Relationship Id="rId156" Type="http://schemas.openxmlformats.org/officeDocument/2006/relationships/hyperlink" Target="https://www.sec.gov/Archives/edgar/data/1501697/000162828020003484/ex1036amendment1tomast.htm" TargetMode="External"/><Relationship Id="rId157" Type="http://schemas.openxmlformats.org/officeDocument/2006/relationships/hyperlink" Target="https://www.sec.gov/Archives/edgar/data/1501697/000162828020003484/ex1037amendment2tomast.htm" TargetMode="External"/><Relationship Id="rId158" Type="http://schemas.openxmlformats.org/officeDocument/2006/relationships/hyperlink" Target="https://www.sec.gov/Archives/edgar/data/1501697/000162828024012578/ex1037catalentamendement3.htm" TargetMode="External"/><Relationship Id="rId159" Type="http://schemas.openxmlformats.org/officeDocument/2006/relationships/hyperlink" Target="https://www.sec.gov/Archives/edgar/data/1501697/000162828020003484/ex1038masterservicesag.htm" TargetMode="External"/><Relationship Id="rId160" Type="http://schemas.openxmlformats.org/officeDocument/2006/relationships/hyperlink" Target="https://www.sec.gov/Archives/edgar/data/1501697/000162828020003484/ex1039amendment1tomast.htm" TargetMode="External"/><Relationship Id="rId161" Type="http://schemas.openxmlformats.org/officeDocument/2006/relationships/hyperlink" Target="https://www.sec.gov/Archives/edgar/data/0001501697/000162828021005202/aptuitamendment2.htm" TargetMode="External"/><Relationship Id="rId162" Type="http://schemas.openxmlformats.org/officeDocument/2006/relationships/hyperlink" Target="https://www.sec.gov/Archives/edgar/data/1501697/000162828022029252/a101formofstockappreciatio.htm" TargetMode="External"/><Relationship Id="rId163" Type="http://schemas.openxmlformats.org/officeDocument/2006/relationships/hyperlink" Target="https://www.sec.gov/Archives/edgar/data/1501697/000162828023038334/ex-101q32023.htm" TargetMode="External"/><Relationship Id="rId164" Type="http://schemas.openxmlformats.org/officeDocument/2006/relationships/hyperlink" Target="https://www.sec.gov/Archives/edgar/data/1501697/000162828024036127/ex_103insidertradingpoli.htm" TargetMode="External"/><Relationship Id="rId166" Type="http://schemas.openxmlformats.org/officeDocument/2006/relationships/hyperlink" Target="https://www.sec.gov/Archives/edgar/data/1501697/000162828022006547/ex_211xlistofsubsidiaries2.htm" TargetMode="External"/><Relationship Id="rId167" Type="http://schemas.openxmlformats.org/officeDocument/2006/relationships/hyperlink" Target="https://www.sec.gov/Archives/edgar/data/1501697/000162828024012578/ex971compensationrecoup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2025-03-26T05:28:30Z</dcterms:created>
  <dcterms:modified xsi:type="dcterms:W3CDTF">2025-03-26T05:28:30Z</dcterms:modified>
</cp:coreProperties>
</file>